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64A7" w14:textId="49D30A07" w:rsidR="008521D7" w:rsidRPr="00AD1531" w:rsidRDefault="00CD3DE9" w:rsidP="00162D83">
      <w:pPr>
        <w:widowControl w:val="0"/>
        <w:autoSpaceDE w:val="0"/>
        <w:autoSpaceDN w:val="0"/>
        <w:adjustRightInd w:val="0"/>
        <w:spacing w:after="240" w:line="280" w:lineRule="atLeast"/>
        <w:rPr>
          <w:color w:val="000000"/>
          <w:sz w:val="20"/>
          <w:szCs w:val="20"/>
        </w:rPr>
      </w:pPr>
      <w:r>
        <w:rPr>
          <w:noProof/>
        </w:rPr>
        <w:drawing>
          <wp:anchor distT="0" distB="0" distL="114300" distR="114300" simplePos="0" relativeHeight="251657728" behindDoc="0" locked="0" layoutInCell="1" allowOverlap="1" wp14:anchorId="2E13C825" wp14:editId="4AC447E9">
            <wp:simplePos x="0" y="0"/>
            <wp:positionH relativeFrom="margin">
              <wp:posOffset>-819150</wp:posOffset>
            </wp:positionH>
            <wp:positionV relativeFrom="page">
              <wp:align>top</wp:align>
            </wp:positionV>
            <wp:extent cx="7442835" cy="1057275"/>
            <wp:effectExtent l="0" t="0" r="0" b="0"/>
            <wp:wrapSquare wrapText="bothSides"/>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2835" cy="1057275"/>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sz w:val="20"/>
        </w:rPr>
        <w:t>Communiqué de presse – le 2</w:t>
      </w:r>
      <w:r w:rsidR="00FD5F47">
        <w:rPr>
          <w:color w:val="000000"/>
          <w:sz w:val="20"/>
        </w:rPr>
        <w:t>6</w:t>
      </w:r>
      <w:r>
        <w:rPr>
          <w:color w:val="000000"/>
          <w:sz w:val="20"/>
        </w:rPr>
        <w:t xml:space="preserve"> octobre 2022  </w:t>
      </w:r>
    </w:p>
    <w:p w14:paraId="44809C79" w14:textId="77777777" w:rsidR="00FD5F47" w:rsidRPr="008672CA" w:rsidRDefault="00FD5F47" w:rsidP="00FD5F47">
      <w:pPr>
        <w:jc w:val="center"/>
        <w:rPr>
          <w:b/>
          <w:bCs/>
        </w:rPr>
      </w:pPr>
      <w:r w:rsidRPr="008672CA">
        <w:rPr>
          <w:b/>
          <w:bCs/>
        </w:rPr>
        <w:t>PERNOD RICARD COMPLETE AVEC SUCCES UNE EMISSION OBLIGATAIRE DOUBLE TRANCHE « SUSTAINABILITY-LINKED » DE 1</w:t>
      </w:r>
      <w:r>
        <w:rPr>
          <w:b/>
          <w:bCs/>
        </w:rPr>
        <w:t>,</w:t>
      </w:r>
      <w:r w:rsidRPr="008672CA">
        <w:rPr>
          <w:b/>
          <w:bCs/>
        </w:rPr>
        <w:t>1 MILLIARD</w:t>
      </w:r>
      <w:r>
        <w:rPr>
          <w:b/>
          <w:bCs/>
        </w:rPr>
        <w:t>S D’EUROS</w:t>
      </w:r>
    </w:p>
    <w:p w14:paraId="14FFA481" w14:textId="77777777" w:rsidR="00FD5F47" w:rsidRPr="008672CA" w:rsidRDefault="00FD5F47" w:rsidP="00FD5F47">
      <w:pPr>
        <w:jc w:val="center"/>
      </w:pPr>
    </w:p>
    <w:p w14:paraId="1ED74BB8" w14:textId="77777777" w:rsidR="00FD5F47" w:rsidRDefault="00FD5F47" w:rsidP="00FD5F47">
      <w:pPr>
        <w:jc w:val="both"/>
        <w:rPr>
          <w:i/>
          <w:iCs/>
        </w:rPr>
      </w:pPr>
    </w:p>
    <w:p w14:paraId="7292D8A2" w14:textId="5A1CD2FE" w:rsidR="00FD5F47" w:rsidRPr="00FD5F47" w:rsidRDefault="00FD5F47" w:rsidP="00FD5F47">
      <w:pPr>
        <w:jc w:val="both"/>
        <w:rPr>
          <w:i/>
          <w:iCs/>
          <w:sz w:val="20"/>
          <w:szCs w:val="20"/>
        </w:rPr>
      </w:pPr>
      <w:r w:rsidRPr="00FD5F47">
        <w:rPr>
          <w:i/>
          <w:iCs/>
          <w:sz w:val="20"/>
          <w:szCs w:val="20"/>
        </w:rPr>
        <w:t>Ne pas distribuer directement ou indirectement au Canada ou au Japon.</w:t>
      </w:r>
    </w:p>
    <w:p w14:paraId="068DC4AD" w14:textId="77777777" w:rsidR="00FD5F47" w:rsidRPr="00FD5F47" w:rsidRDefault="00FD5F47" w:rsidP="00FD5F47">
      <w:pPr>
        <w:jc w:val="both"/>
        <w:rPr>
          <w:i/>
          <w:iCs/>
          <w:sz w:val="20"/>
          <w:szCs w:val="20"/>
        </w:rPr>
      </w:pPr>
      <w:r w:rsidRPr="00FD5F47">
        <w:rPr>
          <w:i/>
          <w:iCs/>
          <w:sz w:val="20"/>
          <w:szCs w:val="20"/>
        </w:rPr>
        <w:t>La diffusion de ce document peut, dans certains pays, faire l’objet d’une réglementation spécifique. Les personnes en possession du présent document doivent s’informer des éventuelles restrictions locales et s’y conformer.</w:t>
      </w:r>
    </w:p>
    <w:p w14:paraId="07BEE436" w14:textId="77777777" w:rsidR="00FD5F47" w:rsidRPr="00FD5F47" w:rsidRDefault="00FD5F47" w:rsidP="00FD5F47">
      <w:pPr>
        <w:jc w:val="both"/>
        <w:rPr>
          <w:i/>
          <w:iCs/>
          <w:sz w:val="20"/>
          <w:szCs w:val="20"/>
        </w:rPr>
      </w:pPr>
      <w:r w:rsidRPr="00FD5F47">
        <w:rPr>
          <w:i/>
          <w:iCs/>
          <w:sz w:val="20"/>
          <w:szCs w:val="20"/>
        </w:rPr>
        <w:t xml:space="preserve">Le présent communiqué ne constitue pas et ne fait pas partie d’une offre de valeurs mobilières ou une quelconque sollicitation d’achat ou de souscription de valeurs mobilières aux Etats-Unis ou dans tout autre pays. Les valeurs mobilières ne peuvent être offertes, souscrites ou vendues aux Etats-Unis, ou auprès de ou pour le compte ou le bénéfice de « US </w:t>
      </w:r>
      <w:proofErr w:type="spellStart"/>
      <w:r w:rsidRPr="00FD5F47">
        <w:rPr>
          <w:i/>
          <w:iCs/>
          <w:sz w:val="20"/>
          <w:szCs w:val="20"/>
        </w:rPr>
        <w:t>Persons</w:t>
      </w:r>
      <w:proofErr w:type="spellEnd"/>
      <w:r w:rsidRPr="00FD5F47">
        <w:rPr>
          <w:i/>
          <w:iCs/>
          <w:sz w:val="20"/>
          <w:szCs w:val="20"/>
        </w:rPr>
        <w:t xml:space="preserve"> » (tel que défini par la </w:t>
      </w:r>
      <w:proofErr w:type="spellStart"/>
      <w:r w:rsidRPr="00FD5F47">
        <w:rPr>
          <w:i/>
          <w:iCs/>
          <w:sz w:val="20"/>
          <w:szCs w:val="20"/>
        </w:rPr>
        <w:t>Regulation</w:t>
      </w:r>
      <w:proofErr w:type="spellEnd"/>
      <w:r w:rsidRPr="00FD5F47">
        <w:rPr>
          <w:i/>
          <w:iCs/>
          <w:sz w:val="20"/>
          <w:szCs w:val="20"/>
        </w:rPr>
        <w:t xml:space="preserve"> S sous le U.S. Securities </w:t>
      </w:r>
      <w:proofErr w:type="spellStart"/>
      <w:r w:rsidRPr="00FD5F47">
        <w:rPr>
          <w:i/>
          <w:iCs/>
          <w:sz w:val="20"/>
          <w:szCs w:val="20"/>
        </w:rPr>
        <w:t>Act</w:t>
      </w:r>
      <w:proofErr w:type="spellEnd"/>
      <w:r w:rsidRPr="00FD5F47">
        <w:rPr>
          <w:i/>
          <w:iCs/>
          <w:sz w:val="20"/>
          <w:szCs w:val="20"/>
        </w:rPr>
        <w:t xml:space="preserve"> de 1933), en l’absence d’enregistrement ou de dispense d’enregistrement au titre du U.S. Securities </w:t>
      </w:r>
      <w:proofErr w:type="spellStart"/>
      <w:r w:rsidRPr="00FD5F47">
        <w:rPr>
          <w:i/>
          <w:iCs/>
          <w:sz w:val="20"/>
          <w:szCs w:val="20"/>
        </w:rPr>
        <w:t>Act</w:t>
      </w:r>
      <w:proofErr w:type="spellEnd"/>
      <w:r w:rsidRPr="00FD5F47">
        <w:rPr>
          <w:i/>
          <w:iCs/>
          <w:sz w:val="20"/>
          <w:szCs w:val="20"/>
        </w:rPr>
        <w:t xml:space="preserve"> de 1933, tel que modifié. Pernod Ricard n’a pas l’intention d’enregistrer l’offre mentionnée dans le présent communiqué ou une partie de cette offre aux Etats-Unis, ni d’effectuer une quelconque offre publique aux Etats-Unis.</w:t>
      </w:r>
      <w:r w:rsidRPr="00FD5F47">
        <w:rPr>
          <w:i/>
          <w:iCs/>
          <w:sz w:val="20"/>
          <w:szCs w:val="20"/>
        </w:rPr>
        <w:cr/>
      </w:r>
    </w:p>
    <w:tbl>
      <w:tblPr>
        <w:tblStyle w:val="Grilledutableau"/>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613"/>
        <w:gridCol w:w="1537"/>
        <w:gridCol w:w="1678"/>
        <w:gridCol w:w="1086"/>
        <w:gridCol w:w="1379"/>
        <w:gridCol w:w="1773"/>
      </w:tblGrid>
      <w:tr w:rsidR="00FD5F47" w14:paraId="4F339E11" w14:textId="77777777" w:rsidTr="00FD5F47">
        <w:tc>
          <w:tcPr>
            <w:tcW w:w="1613" w:type="dxa"/>
          </w:tcPr>
          <w:p w14:paraId="3263A435" w14:textId="77777777" w:rsidR="00FD5F47" w:rsidRPr="00B46C32" w:rsidRDefault="00FD5F47" w:rsidP="001404B9">
            <w:pPr>
              <w:jc w:val="center"/>
              <w:rPr>
                <w:b/>
                <w:bCs/>
              </w:rPr>
            </w:pPr>
            <w:proofErr w:type="spellStart"/>
            <w:r>
              <w:rPr>
                <w:b/>
                <w:bCs/>
              </w:rPr>
              <w:t>Montant</w:t>
            </w:r>
            <w:proofErr w:type="spellEnd"/>
            <w:r w:rsidRPr="00B46C32">
              <w:rPr>
                <w:b/>
                <w:bCs/>
              </w:rPr>
              <w:t xml:space="preserve"> (EUR)</w:t>
            </w:r>
          </w:p>
        </w:tc>
        <w:tc>
          <w:tcPr>
            <w:tcW w:w="1537" w:type="dxa"/>
          </w:tcPr>
          <w:p w14:paraId="339F65B0" w14:textId="77777777" w:rsidR="00FD5F47" w:rsidRPr="00B46C32" w:rsidRDefault="00FD5F47" w:rsidP="001404B9">
            <w:pPr>
              <w:jc w:val="center"/>
              <w:rPr>
                <w:b/>
                <w:bCs/>
              </w:rPr>
            </w:pPr>
            <w:proofErr w:type="spellStart"/>
            <w:r w:rsidRPr="00A25126">
              <w:rPr>
                <w:b/>
                <w:bCs/>
              </w:rPr>
              <w:t>Échéance</w:t>
            </w:r>
            <w:proofErr w:type="spellEnd"/>
          </w:p>
        </w:tc>
        <w:tc>
          <w:tcPr>
            <w:tcW w:w="1678" w:type="dxa"/>
          </w:tcPr>
          <w:p w14:paraId="050CE204" w14:textId="77777777" w:rsidR="00FD5F47" w:rsidRPr="00B46C32" w:rsidRDefault="00FD5F47" w:rsidP="001404B9">
            <w:pPr>
              <w:jc w:val="center"/>
              <w:rPr>
                <w:b/>
                <w:bCs/>
              </w:rPr>
            </w:pPr>
            <w:proofErr w:type="spellStart"/>
            <w:r w:rsidRPr="00A25126">
              <w:rPr>
                <w:b/>
                <w:bCs/>
              </w:rPr>
              <w:t>Règlement</w:t>
            </w:r>
            <w:proofErr w:type="spellEnd"/>
          </w:p>
        </w:tc>
        <w:tc>
          <w:tcPr>
            <w:tcW w:w="1086" w:type="dxa"/>
          </w:tcPr>
          <w:p w14:paraId="5A475518" w14:textId="77777777" w:rsidR="00FD5F47" w:rsidRPr="00B46C32" w:rsidRDefault="00FD5F47" w:rsidP="001404B9">
            <w:pPr>
              <w:jc w:val="center"/>
              <w:rPr>
                <w:b/>
                <w:bCs/>
              </w:rPr>
            </w:pPr>
            <w:r w:rsidRPr="00B46C32">
              <w:rPr>
                <w:b/>
                <w:bCs/>
              </w:rPr>
              <w:t>Coupon</w:t>
            </w:r>
          </w:p>
        </w:tc>
        <w:tc>
          <w:tcPr>
            <w:tcW w:w="1379" w:type="dxa"/>
          </w:tcPr>
          <w:p w14:paraId="7D9868E9" w14:textId="77777777" w:rsidR="00FD5F47" w:rsidRPr="00B46C32" w:rsidRDefault="00FD5F47" w:rsidP="001404B9">
            <w:pPr>
              <w:jc w:val="center"/>
              <w:rPr>
                <w:b/>
                <w:bCs/>
              </w:rPr>
            </w:pPr>
            <w:proofErr w:type="spellStart"/>
            <w:r w:rsidRPr="00A25126">
              <w:rPr>
                <w:b/>
                <w:bCs/>
              </w:rPr>
              <w:t>Rendement</w:t>
            </w:r>
            <w:proofErr w:type="spellEnd"/>
          </w:p>
        </w:tc>
        <w:tc>
          <w:tcPr>
            <w:tcW w:w="1773" w:type="dxa"/>
          </w:tcPr>
          <w:p w14:paraId="5AFDA1C3" w14:textId="77777777" w:rsidR="00FD5F47" w:rsidRPr="00B46C32" w:rsidRDefault="00FD5F47" w:rsidP="001404B9">
            <w:pPr>
              <w:jc w:val="center"/>
              <w:rPr>
                <w:b/>
                <w:bCs/>
              </w:rPr>
            </w:pPr>
            <w:r>
              <w:rPr>
                <w:b/>
                <w:bCs/>
              </w:rPr>
              <w:t xml:space="preserve">Spread </w:t>
            </w:r>
            <w:r w:rsidRPr="00B46C32">
              <w:rPr>
                <w:b/>
                <w:bCs/>
              </w:rPr>
              <w:t xml:space="preserve">Re-offer </w:t>
            </w:r>
          </w:p>
        </w:tc>
      </w:tr>
      <w:tr w:rsidR="00FD5F47" w14:paraId="434359EA" w14:textId="77777777" w:rsidTr="00FD5F47">
        <w:tc>
          <w:tcPr>
            <w:tcW w:w="1613" w:type="dxa"/>
          </w:tcPr>
          <w:p w14:paraId="0A43BF0E" w14:textId="77777777" w:rsidR="00FD5F47" w:rsidRDefault="00FD5F47" w:rsidP="001404B9">
            <w:pPr>
              <w:jc w:val="center"/>
            </w:pPr>
            <w:r>
              <w:t>600,000,000</w:t>
            </w:r>
          </w:p>
        </w:tc>
        <w:tc>
          <w:tcPr>
            <w:tcW w:w="1537" w:type="dxa"/>
          </w:tcPr>
          <w:p w14:paraId="64053D7F" w14:textId="77777777" w:rsidR="00FD5F47" w:rsidRDefault="00FD5F47" w:rsidP="001404B9">
            <w:pPr>
              <w:jc w:val="center"/>
            </w:pPr>
            <w:r>
              <w:t>0</w:t>
            </w:r>
            <w:r w:rsidRPr="00CD04E4">
              <w:t>2-Nov-</w:t>
            </w:r>
            <w:r>
              <w:t>20</w:t>
            </w:r>
            <w:r w:rsidRPr="00CD04E4">
              <w:t>28</w:t>
            </w:r>
          </w:p>
        </w:tc>
        <w:tc>
          <w:tcPr>
            <w:tcW w:w="1678" w:type="dxa"/>
          </w:tcPr>
          <w:p w14:paraId="381520EE" w14:textId="77777777" w:rsidR="00FD5F47" w:rsidRDefault="00FD5F47" w:rsidP="001404B9">
            <w:pPr>
              <w:jc w:val="center"/>
            </w:pPr>
            <w:r>
              <w:t>0</w:t>
            </w:r>
            <w:r w:rsidRPr="00CD04E4">
              <w:t>2-Nov-</w:t>
            </w:r>
            <w:r>
              <w:t>20</w:t>
            </w:r>
            <w:r w:rsidRPr="00CD04E4">
              <w:t>22</w:t>
            </w:r>
          </w:p>
        </w:tc>
        <w:tc>
          <w:tcPr>
            <w:tcW w:w="1086" w:type="dxa"/>
          </w:tcPr>
          <w:p w14:paraId="1D9D249A" w14:textId="77777777" w:rsidR="00FD5F47" w:rsidRDefault="00FD5F47" w:rsidP="001404B9">
            <w:pPr>
              <w:jc w:val="center"/>
            </w:pPr>
            <w:r>
              <w:t>3,250%</w:t>
            </w:r>
          </w:p>
        </w:tc>
        <w:tc>
          <w:tcPr>
            <w:tcW w:w="1379" w:type="dxa"/>
          </w:tcPr>
          <w:p w14:paraId="3091EF21" w14:textId="77777777" w:rsidR="00FD5F47" w:rsidRDefault="00FD5F47" w:rsidP="001404B9">
            <w:pPr>
              <w:jc w:val="center"/>
            </w:pPr>
            <w:r>
              <w:t>3,478%</w:t>
            </w:r>
          </w:p>
        </w:tc>
        <w:tc>
          <w:tcPr>
            <w:tcW w:w="1773" w:type="dxa"/>
          </w:tcPr>
          <w:p w14:paraId="698F8DE4" w14:textId="77777777" w:rsidR="00FD5F47" w:rsidRDefault="00FD5F47" w:rsidP="001404B9">
            <w:pPr>
              <w:jc w:val="center"/>
            </w:pPr>
            <w:r>
              <w:t>55bps</w:t>
            </w:r>
          </w:p>
        </w:tc>
      </w:tr>
      <w:tr w:rsidR="00FD5F47" w14:paraId="61148963" w14:textId="77777777" w:rsidTr="00FD5F47">
        <w:tc>
          <w:tcPr>
            <w:tcW w:w="1613" w:type="dxa"/>
          </w:tcPr>
          <w:p w14:paraId="09DD4A0A" w14:textId="77777777" w:rsidR="00FD5F47" w:rsidRDefault="00FD5F47" w:rsidP="001404B9">
            <w:pPr>
              <w:jc w:val="center"/>
            </w:pPr>
            <w:r>
              <w:t>500,000,000</w:t>
            </w:r>
          </w:p>
        </w:tc>
        <w:tc>
          <w:tcPr>
            <w:tcW w:w="1537" w:type="dxa"/>
          </w:tcPr>
          <w:p w14:paraId="096E27EB" w14:textId="77777777" w:rsidR="00FD5F47" w:rsidRDefault="00FD5F47" w:rsidP="001404B9">
            <w:pPr>
              <w:jc w:val="center"/>
            </w:pPr>
            <w:r>
              <w:t>0</w:t>
            </w:r>
            <w:r w:rsidRPr="00CD04E4">
              <w:t>2-Nov-</w:t>
            </w:r>
            <w:r>
              <w:t>20</w:t>
            </w:r>
            <w:r w:rsidRPr="00CD04E4">
              <w:t>32</w:t>
            </w:r>
          </w:p>
        </w:tc>
        <w:tc>
          <w:tcPr>
            <w:tcW w:w="1678" w:type="dxa"/>
          </w:tcPr>
          <w:p w14:paraId="61FE2462" w14:textId="77777777" w:rsidR="00FD5F47" w:rsidRDefault="00FD5F47" w:rsidP="001404B9">
            <w:pPr>
              <w:jc w:val="center"/>
            </w:pPr>
            <w:r>
              <w:t>0</w:t>
            </w:r>
            <w:r w:rsidRPr="00CD04E4">
              <w:t>2-Nov-</w:t>
            </w:r>
            <w:r>
              <w:t>20</w:t>
            </w:r>
            <w:r w:rsidRPr="00CD04E4">
              <w:t>22</w:t>
            </w:r>
          </w:p>
        </w:tc>
        <w:tc>
          <w:tcPr>
            <w:tcW w:w="1086" w:type="dxa"/>
          </w:tcPr>
          <w:p w14:paraId="6DC69E6A" w14:textId="77777777" w:rsidR="00FD5F47" w:rsidRDefault="00FD5F47" w:rsidP="001404B9">
            <w:pPr>
              <w:jc w:val="center"/>
            </w:pPr>
            <w:r>
              <w:t>3,750%</w:t>
            </w:r>
          </w:p>
        </w:tc>
        <w:tc>
          <w:tcPr>
            <w:tcW w:w="1379" w:type="dxa"/>
          </w:tcPr>
          <w:p w14:paraId="77B8280A" w14:textId="77777777" w:rsidR="00FD5F47" w:rsidRDefault="00FD5F47" w:rsidP="001404B9">
            <w:pPr>
              <w:jc w:val="center"/>
            </w:pPr>
            <w:r>
              <w:t>3,931%</w:t>
            </w:r>
          </w:p>
        </w:tc>
        <w:tc>
          <w:tcPr>
            <w:tcW w:w="1773" w:type="dxa"/>
          </w:tcPr>
          <w:p w14:paraId="6EE4F83F" w14:textId="77777777" w:rsidR="00FD5F47" w:rsidRDefault="00FD5F47" w:rsidP="001404B9">
            <w:pPr>
              <w:jc w:val="center"/>
            </w:pPr>
            <w:r>
              <w:t>93bps</w:t>
            </w:r>
          </w:p>
        </w:tc>
      </w:tr>
    </w:tbl>
    <w:p w14:paraId="6BE78895" w14:textId="77777777" w:rsidR="00FD5F47" w:rsidRDefault="00FD5F47" w:rsidP="00FD5F47">
      <w:pPr>
        <w:jc w:val="both"/>
      </w:pPr>
    </w:p>
    <w:p w14:paraId="2C6FB25E" w14:textId="77777777" w:rsidR="00FD5F47" w:rsidRPr="008672CA" w:rsidRDefault="00FD5F47" w:rsidP="00FD5F47">
      <w:pPr>
        <w:jc w:val="both"/>
      </w:pPr>
      <w:r w:rsidRPr="008672CA">
        <w:t xml:space="preserve">Pernod Ricard, dont la dette senior </w:t>
      </w:r>
      <w:r>
        <w:t xml:space="preserve">à </w:t>
      </w:r>
      <w:r w:rsidRPr="008672CA">
        <w:t xml:space="preserve">long terme est notée Baa1 (perspective stable) par Moody's et BBB+ (perspective stable) par Standard &amp; </w:t>
      </w:r>
      <w:proofErr w:type="spellStart"/>
      <w:r w:rsidRPr="008672CA">
        <w:t>Poor's</w:t>
      </w:r>
      <w:proofErr w:type="spellEnd"/>
      <w:r w:rsidRPr="008672CA">
        <w:t xml:space="preserve">, a </w:t>
      </w:r>
      <w:r>
        <w:t>procédé</w:t>
      </w:r>
      <w:r w:rsidRPr="008672CA">
        <w:t xml:space="preserve"> </w:t>
      </w:r>
      <w:r>
        <w:t>aujourd’hui à une</w:t>
      </w:r>
      <w:r w:rsidRPr="008672CA">
        <w:t xml:space="preserve"> nouvelle émission obligataire libellée en euros </w:t>
      </w:r>
      <w:r>
        <w:t>d’</w:t>
      </w:r>
      <w:r w:rsidRPr="008672CA">
        <w:t>un montant agrégé de 1</w:t>
      </w:r>
      <w:r>
        <w:t>,</w:t>
      </w:r>
      <w:r w:rsidRPr="008672CA">
        <w:t xml:space="preserve">1 </w:t>
      </w:r>
      <w:r>
        <w:t>milliards</w:t>
      </w:r>
      <w:r w:rsidRPr="008672CA">
        <w:t xml:space="preserve"> </w:t>
      </w:r>
      <w:r>
        <w:t xml:space="preserve">d’euros </w:t>
      </w:r>
      <w:r w:rsidRPr="008672CA">
        <w:t xml:space="preserve">répartis </w:t>
      </w:r>
      <w:r>
        <w:t>sur</w:t>
      </w:r>
      <w:r w:rsidRPr="008672CA">
        <w:t xml:space="preserve"> deux tranches : une </w:t>
      </w:r>
      <w:r>
        <w:t xml:space="preserve">tranche de maturité 6 ans pour un montant </w:t>
      </w:r>
      <w:r w:rsidRPr="008672CA">
        <w:t xml:space="preserve">de 600 millions </w:t>
      </w:r>
      <w:r>
        <w:t>d’euros</w:t>
      </w:r>
      <w:r w:rsidRPr="008672CA">
        <w:t xml:space="preserve"> et une </w:t>
      </w:r>
      <w:r>
        <w:t>tranche de maturité 10 ans pour un montant de</w:t>
      </w:r>
      <w:r w:rsidRPr="008672CA">
        <w:t xml:space="preserve"> 500 millions d'</w:t>
      </w:r>
      <w:r>
        <w:t>euros</w:t>
      </w:r>
      <w:r w:rsidRPr="008672CA">
        <w:t>.</w:t>
      </w:r>
    </w:p>
    <w:p w14:paraId="4A8AB4DB" w14:textId="77777777" w:rsidR="00FD5F47" w:rsidRDefault="00FD5F47" w:rsidP="00FD5F47">
      <w:pPr>
        <w:jc w:val="both"/>
      </w:pPr>
    </w:p>
    <w:p w14:paraId="541A8BE6" w14:textId="2E569479" w:rsidR="00FD5F47" w:rsidRPr="008672CA" w:rsidRDefault="00FD5F47" w:rsidP="00FD5F47">
      <w:pPr>
        <w:jc w:val="both"/>
      </w:pPr>
      <w:r w:rsidRPr="008672CA">
        <w:t xml:space="preserve">L'opération </w:t>
      </w:r>
      <w:r>
        <w:t>constitue l</w:t>
      </w:r>
      <w:r w:rsidRPr="008672CA">
        <w:t xml:space="preserve">a deuxième </w:t>
      </w:r>
      <w:r>
        <w:t>émission</w:t>
      </w:r>
      <w:r w:rsidRPr="008672CA">
        <w:t xml:space="preserve"> </w:t>
      </w:r>
      <w:r>
        <w:t>« </w:t>
      </w:r>
      <w:proofErr w:type="spellStart"/>
      <w:r>
        <w:t>Sustainability-Linked</w:t>
      </w:r>
      <w:proofErr w:type="spellEnd"/>
      <w:r>
        <w:t> » de Pernod Ricard</w:t>
      </w:r>
      <w:r w:rsidRPr="008672CA">
        <w:t xml:space="preserve">. Conformément </w:t>
      </w:r>
      <w:bookmarkStart w:id="0" w:name="_Hlk117610970"/>
      <w:r w:rsidRPr="008672CA">
        <w:t>à</w:t>
      </w:r>
      <w:bookmarkEnd w:id="0"/>
      <w:r w:rsidRPr="008672CA">
        <w:t xml:space="preserve"> son </w:t>
      </w:r>
      <w:r>
        <w:t>émission</w:t>
      </w:r>
      <w:r w:rsidRPr="008672CA">
        <w:t xml:space="preserve"> inaugural</w:t>
      </w:r>
      <w:r>
        <w:t>e</w:t>
      </w:r>
      <w:r w:rsidRPr="008672CA">
        <w:t xml:space="preserve">, </w:t>
      </w:r>
      <w:r>
        <w:t>la transaction est</w:t>
      </w:r>
      <w:r w:rsidRPr="008672CA">
        <w:t xml:space="preserve"> </w:t>
      </w:r>
      <w:r>
        <w:t>liée</w:t>
      </w:r>
      <w:r w:rsidRPr="008672CA">
        <w:t xml:space="preserve"> à deux engagements environnementaux : réduire </w:t>
      </w:r>
      <w:r>
        <w:t>le montant absolu des</w:t>
      </w:r>
      <w:r w:rsidRPr="008672CA">
        <w:t xml:space="preserve"> émissions de gaz à effet de serre du </w:t>
      </w:r>
      <w:r>
        <w:t>g</w:t>
      </w:r>
      <w:r w:rsidRPr="008672CA">
        <w:t xml:space="preserve">roupe (Scope 1&amp;2) et diminuer la consommation d'eau par unité </w:t>
      </w:r>
      <w:r>
        <w:t xml:space="preserve">d’alcool produite </w:t>
      </w:r>
      <w:r w:rsidRPr="008672CA">
        <w:t>dans les distilleries</w:t>
      </w:r>
      <w:r>
        <w:t xml:space="preserve"> du groupe</w:t>
      </w:r>
      <w:r w:rsidRPr="008672CA">
        <w:t>.</w:t>
      </w:r>
    </w:p>
    <w:p w14:paraId="1975E8E6" w14:textId="77777777" w:rsidR="00FD5F47" w:rsidRDefault="00FD5F47" w:rsidP="00FD5F47">
      <w:pPr>
        <w:jc w:val="both"/>
      </w:pPr>
      <w:r>
        <w:t>Cette</w:t>
      </w:r>
      <w:r w:rsidRPr="007B6F56">
        <w:t xml:space="preserve"> transaction </w:t>
      </w:r>
      <w:r>
        <w:t>s’inscrit dans</w:t>
      </w:r>
      <w:r w:rsidRPr="007B6F56">
        <w:t xml:space="preserve"> la volonté de Pernod Ricard d’intégrer des facteurs de développement durable dans ses opérations et dans sa stratégie de financement, en cohérence avec la politique de responsabilité sociétale et environnementale du groupe.</w:t>
      </w:r>
    </w:p>
    <w:p w14:paraId="5B747A13" w14:textId="77777777" w:rsidR="00FD5F47" w:rsidRPr="007B6F56" w:rsidRDefault="00FD5F47" w:rsidP="00FD5F47">
      <w:pPr>
        <w:jc w:val="both"/>
      </w:pPr>
    </w:p>
    <w:p w14:paraId="1E7BFF6D" w14:textId="77777777" w:rsidR="00FD5F47" w:rsidRPr="007B6F56" w:rsidRDefault="00FD5F47" w:rsidP="00FD5F47">
      <w:pPr>
        <w:jc w:val="both"/>
      </w:pPr>
      <w:r w:rsidRPr="007B6F56">
        <w:t xml:space="preserve">Le « </w:t>
      </w:r>
      <w:proofErr w:type="spellStart"/>
      <w:r w:rsidRPr="007B6F56">
        <w:t>Sustainability-Linked</w:t>
      </w:r>
      <w:proofErr w:type="spellEnd"/>
      <w:r w:rsidRPr="007B6F56">
        <w:t xml:space="preserve"> Bond Framework » et la « Second Party Opinion » de </w:t>
      </w:r>
      <w:proofErr w:type="spellStart"/>
      <w:r w:rsidRPr="007B6F56">
        <w:t>Sustainalytics</w:t>
      </w:r>
      <w:proofErr w:type="spellEnd"/>
      <w:r w:rsidRPr="007B6F56">
        <w:t xml:space="preserve"> peuvent être consultés sur le lien </w:t>
      </w:r>
      <w:proofErr w:type="gramStart"/>
      <w:r w:rsidRPr="007B6F56">
        <w:t>suivant:</w:t>
      </w:r>
      <w:proofErr w:type="gramEnd"/>
      <w:r w:rsidRPr="007B6F56">
        <w:t xml:space="preserve"> https://www.pernod-ricard.com/fr/investisseurs/cours-de-l-action-et-informations-sur-la-dette#informations-sur-la--1263</w:t>
      </w:r>
    </w:p>
    <w:p w14:paraId="1602A7E1" w14:textId="77777777" w:rsidR="00FD5F47" w:rsidRDefault="00FD5F47" w:rsidP="00FD5F47">
      <w:pPr>
        <w:jc w:val="both"/>
      </w:pPr>
      <w:r w:rsidRPr="007B6F56">
        <w:t>Le produit net de cette émission sera utilisé pour financer les besoins généraux de Pernod Ricard.</w:t>
      </w:r>
    </w:p>
    <w:p w14:paraId="36E9CFE6" w14:textId="77777777" w:rsidR="0010661D" w:rsidRDefault="0010661D">
      <w:pPr>
        <w:rPr>
          <w:b/>
          <w:sz w:val="21"/>
        </w:rPr>
      </w:pPr>
    </w:p>
    <w:p w14:paraId="7D6A5C01" w14:textId="77777777" w:rsidR="00FD5F47" w:rsidRDefault="00FD5F47">
      <w:pPr>
        <w:rPr>
          <w:b/>
          <w:sz w:val="22"/>
        </w:rPr>
      </w:pPr>
      <w:r>
        <w:rPr>
          <w:b/>
          <w:sz w:val="22"/>
        </w:rPr>
        <w:br w:type="page"/>
      </w:r>
    </w:p>
    <w:p w14:paraId="1C453CA0" w14:textId="464919AA" w:rsidR="00606237" w:rsidRPr="00A9397C" w:rsidRDefault="00606237" w:rsidP="00606237">
      <w:pPr>
        <w:jc w:val="both"/>
        <w:rPr>
          <w:b/>
          <w:sz w:val="22"/>
          <w:szCs w:val="22"/>
        </w:rPr>
      </w:pPr>
      <w:r>
        <w:rPr>
          <w:b/>
          <w:sz w:val="22"/>
        </w:rPr>
        <w:lastRenderedPageBreak/>
        <w:t>A propos de Pernod Ricard</w:t>
      </w:r>
    </w:p>
    <w:p w14:paraId="1BB97438" w14:textId="77777777" w:rsidR="001A4BA4" w:rsidRPr="00050D47" w:rsidRDefault="001A4BA4" w:rsidP="001A4BA4">
      <w:pPr>
        <w:ind w:left="23"/>
        <w:jc w:val="both"/>
        <w:rPr>
          <w:rFonts w:ascii="Cambria" w:eastAsia="MS Mincho" w:hAnsi="Cambria"/>
          <w:i/>
          <w:iCs/>
          <w:sz w:val="18"/>
          <w:szCs w:val="18"/>
          <w:bdr w:val="none" w:sz="0" w:space="0" w:color="auto" w:frame="1"/>
        </w:rPr>
      </w:pPr>
      <w:r>
        <w:rPr>
          <w:rFonts w:ascii="Cambria" w:hAnsi="Cambria"/>
          <w:i/>
          <w:sz w:val="18"/>
          <w:bdr w:val="none" w:sz="0" w:space="0" w:color="auto" w:frame="1"/>
        </w:rPr>
        <w:t xml:space="preserve">Pernod Ricard est le n° 2 mondial des Vins et Spiritueux, avec un chiffre d’affaires consolidé de 10 701 millions d’euros en FY22. Né en 1975 du rapprochement de Ricard et Pernod, le Groupe s’est développé tant par croissance interne que par acquisitions : Seagram (2001), </w:t>
      </w:r>
      <w:proofErr w:type="spellStart"/>
      <w:r>
        <w:rPr>
          <w:rFonts w:ascii="Cambria" w:hAnsi="Cambria"/>
          <w:i/>
          <w:sz w:val="18"/>
          <w:bdr w:val="none" w:sz="0" w:space="0" w:color="auto" w:frame="1"/>
        </w:rPr>
        <w:t>Allied</w:t>
      </w:r>
      <w:proofErr w:type="spellEnd"/>
      <w:r>
        <w:rPr>
          <w:rFonts w:ascii="Cambria" w:hAnsi="Cambria"/>
          <w:i/>
          <w:sz w:val="18"/>
          <w:bdr w:val="none" w:sz="0" w:space="0" w:color="auto" w:frame="1"/>
        </w:rPr>
        <w:t xml:space="preserve"> Domecq (2005) et </w:t>
      </w:r>
      <w:proofErr w:type="spellStart"/>
      <w:r>
        <w:rPr>
          <w:rFonts w:ascii="Cambria" w:hAnsi="Cambria"/>
          <w:i/>
          <w:sz w:val="18"/>
          <w:bdr w:val="none" w:sz="0" w:space="0" w:color="auto" w:frame="1"/>
        </w:rPr>
        <w:t>Vin&amp;Sprit</w:t>
      </w:r>
      <w:proofErr w:type="spellEnd"/>
      <w:r>
        <w:rPr>
          <w:rFonts w:ascii="Cambria" w:hAnsi="Cambria"/>
          <w:i/>
          <w:sz w:val="18"/>
          <w:bdr w:val="none" w:sz="0" w:space="0" w:color="auto" w:frame="1"/>
        </w:rPr>
        <w:t xml:space="preserve"> (2008). Pernod Ricard, qui possède 16 marques dans le top 100 des marques de spiritueux, dispose de l’un des portefeuilles les plus prestigieux du secteur avec notamment la vodka Absolut, le pastis Ricard, les Scotch Whiskies </w:t>
      </w:r>
      <w:proofErr w:type="spellStart"/>
      <w:r>
        <w:rPr>
          <w:rFonts w:ascii="Cambria" w:hAnsi="Cambria"/>
          <w:i/>
          <w:sz w:val="18"/>
          <w:bdr w:val="none" w:sz="0" w:space="0" w:color="auto" w:frame="1"/>
        </w:rPr>
        <w:t>Ballantine’s</w:t>
      </w:r>
      <w:proofErr w:type="spellEnd"/>
      <w:r>
        <w:rPr>
          <w:rFonts w:ascii="Cambria" w:hAnsi="Cambria"/>
          <w:i/>
          <w:sz w:val="18"/>
          <w:bdr w:val="none" w:sz="0" w:space="0" w:color="auto" w:frame="1"/>
        </w:rPr>
        <w:t xml:space="preserve">, Chivas </w:t>
      </w:r>
      <w:proofErr w:type="spellStart"/>
      <w:r>
        <w:rPr>
          <w:rFonts w:ascii="Cambria" w:hAnsi="Cambria"/>
          <w:i/>
          <w:sz w:val="18"/>
          <w:bdr w:val="none" w:sz="0" w:space="0" w:color="auto" w:frame="1"/>
        </w:rPr>
        <w:t>Regal</w:t>
      </w:r>
      <w:proofErr w:type="spellEnd"/>
      <w:r>
        <w:rPr>
          <w:rFonts w:ascii="Cambria" w:hAnsi="Cambria"/>
          <w:i/>
          <w:sz w:val="18"/>
          <w:bdr w:val="none" w:sz="0" w:space="0" w:color="auto" w:frame="1"/>
        </w:rPr>
        <w:t xml:space="preserve">, Royal Salute et The Glenlivet, l’Irish Whiskey Jameson, le cognac Martell, le rhum Havana Club, le gin </w:t>
      </w:r>
      <w:proofErr w:type="spellStart"/>
      <w:r>
        <w:rPr>
          <w:rFonts w:ascii="Cambria" w:hAnsi="Cambria"/>
          <w:i/>
          <w:sz w:val="18"/>
          <w:bdr w:val="none" w:sz="0" w:space="0" w:color="auto" w:frame="1"/>
        </w:rPr>
        <w:t>Beefeater</w:t>
      </w:r>
      <w:proofErr w:type="spellEnd"/>
      <w:r>
        <w:rPr>
          <w:rFonts w:ascii="Cambria" w:hAnsi="Cambria"/>
          <w:i/>
          <w:sz w:val="18"/>
          <w:bdr w:val="none" w:sz="0" w:space="0" w:color="auto" w:frame="1"/>
        </w:rPr>
        <w:t xml:space="preserve">, la liqueur Malibu, les champagnes Mumm et Perrier-Jouët ainsi que les vins </w:t>
      </w:r>
      <w:proofErr w:type="spellStart"/>
      <w:r>
        <w:rPr>
          <w:rFonts w:ascii="Cambria" w:hAnsi="Cambria"/>
          <w:i/>
          <w:sz w:val="18"/>
          <w:bdr w:val="none" w:sz="0" w:space="0" w:color="auto" w:frame="1"/>
        </w:rPr>
        <w:t>Jacob’s</w:t>
      </w:r>
      <w:proofErr w:type="spellEnd"/>
      <w:r>
        <w:rPr>
          <w:rFonts w:ascii="Cambria" w:hAnsi="Cambria"/>
          <w:i/>
          <w:sz w:val="18"/>
          <w:bdr w:val="none" w:sz="0" w:space="0" w:color="auto" w:frame="1"/>
        </w:rPr>
        <w:t xml:space="preserve"> Creek, Brancott </w:t>
      </w:r>
      <w:proofErr w:type="spellStart"/>
      <w:r>
        <w:rPr>
          <w:rFonts w:ascii="Cambria" w:hAnsi="Cambria"/>
          <w:i/>
          <w:sz w:val="18"/>
          <w:bdr w:val="none" w:sz="0" w:space="0" w:color="auto" w:frame="1"/>
        </w:rPr>
        <w:t>Estate</w:t>
      </w:r>
      <w:proofErr w:type="spellEnd"/>
      <w:r>
        <w:rPr>
          <w:rFonts w:ascii="Cambria" w:hAnsi="Cambria"/>
          <w:i/>
          <w:sz w:val="18"/>
          <w:bdr w:val="none" w:sz="0" w:space="0" w:color="auto" w:frame="1"/>
        </w:rPr>
        <w:t xml:space="preserve">, Campo </w:t>
      </w:r>
      <w:proofErr w:type="spellStart"/>
      <w:r>
        <w:rPr>
          <w:rFonts w:ascii="Cambria" w:hAnsi="Cambria"/>
          <w:i/>
          <w:sz w:val="18"/>
          <w:bdr w:val="none" w:sz="0" w:space="0" w:color="auto" w:frame="1"/>
        </w:rPr>
        <w:t>Viejo</w:t>
      </w:r>
      <w:proofErr w:type="spellEnd"/>
      <w:r>
        <w:rPr>
          <w:rFonts w:ascii="Cambria" w:hAnsi="Cambria"/>
          <w:i/>
          <w:sz w:val="18"/>
          <w:bdr w:val="none" w:sz="0" w:space="0" w:color="auto" w:frame="1"/>
        </w:rPr>
        <w:t xml:space="preserve"> et Kenwood. Les marques de Pernod Ricard sont distribuées dans plus de 160 marchés dont 73 par ses propres forces de vente. L’organisation décentralisée du groupe permet à ses 19 000 employés d’agir en tant que véritables ambassadeurs de sa vision de « Créateurs de Convivialité ». Réaffirmée par son plan stratégique « </w:t>
      </w:r>
      <w:proofErr w:type="spellStart"/>
      <w:r>
        <w:rPr>
          <w:rFonts w:ascii="Cambria" w:hAnsi="Cambria"/>
          <w:i/>
          <w:sz w:val="18"/>
          <w:bdr w:val="none" w:sz="0" w:space="0" w:color="auto" w:frame="1"/>
        </w:rPr>
        <w:t>Transform</w:t>
      </w:r>
      <w:proofErr w:type="spellEnd"/>
      <w:r>
        <w:rPr>
          <w:rFonts w:ascii="Cambria" w:hAnsi="Cambria"/>
          <w:i/>
          <w:sz w:val="18"/>
          <w:bdr w:val="none" w:sz="0" w:space="0" w:color="auto" w:frame="1"/>
        </w:rPr>
        <w:t xml:space="preserve"> and </w:t>
      </w:r>
      <w:proofErr w:type="spellStart"/>
      <w:r>
        <w:rPr>
          <w:rFonts w:ascii="Cambria" w:hAnsi="Cambria"/>
          <w:i/>
          <w:sz w:val="18"/>
          <w:bdr w:val="none" w:sz="0" w:space="0" w:color="auto" w:frame="1"/>
        </w:rPr>
        <w:t>Accelerate</w:t>
      </w:r>
      <w:proofErr w:type="spellEnd"/>
      <w:r>
        <w:rPr>
          <w:rFonts w:ascii="Cambria" w:hAnsi="Cambria"/>
          <w:i/>
          <w:sz w:val="18"/>
          <w:bdr w:val="none" w:sz="0" w:space="0" w:color="auto" w:frame="1"/>
        </w:rPr>
        <w:t xml:space="preserve"> » déployé en 2018, la stratégie de Pernod Ricard se concentre sur les investissements à long terme et une croissance profitable pour tous ses actionnaires. Le groupe reste fidèle à ses trois valeurs fondatrices : l’esprit entrepreneur, la confiance mutuelle et l’éthique, comme illustré par notre feuille de route à 2030 </w:t>
      </w:r>
      <w:proofErr w:type="spellStart"/>
      <w:r>
        <w:rPr>
          <w:rFonts w:ascii="Cambria" w:hAnsi="Cambria"/>
          <w:i/>
          <w:sz w:val="18"/>
          <w:bdr w:val="none" w:sz="0" w:space="0" w:color="auto" w:frame="1"/>
        </w:rPr>
        <w:t>Sustainability</w:t>
      </w:r>
      <w:proofErr w:type="spellEnd"/>
      <w:r>
        <w:rPr>
          <w:rFonts w:ascii="Cambria" w:hAnsi="Cambria"/>
          <w:i/>
          <w:sz w:val="18"/>
          <w:bdr w:val="none" w:sz="0" w:space="0" w:color="auto" w:frame="1"/>
        </w:rPr>
        <w:t xml:space="preserve"> &amp; </w:t>
      </w:r>
      <w:proofErr w:type="spellStart"/>
      <w:r>
        <w:rPr>
          <w:rFonts w:ascii="Cambria" w:hAnsi="Cambria"/>
          <w:i/>
          <w:sz w:val="18"/>
          <w:bdr w:val="none" w:sz="0" w:space="0" w:color="auto" w:frame="1"/>
        </w:rPr>
        <w:t>Responsibility</w:t>
      </w:r>
      <w:proofErr w:type="spellEnd"/>
      <w:r>
        <w:rPr>
          <w:rFonts w:ascii="Cambria" w:hAnsi="Cambria"/>
          <w:i/>
          <w:sz w:val="18"/>
          <w:bdr w:val="none" w:sz="0" w:space="0" w:color="auto" w:frame="1"/>
        </w:rPr>
        <w:t>, « nous préservons pour partager » en accord avec les Objectifs de Développement Durable des Nations Unies. En reconnaissance de son engagement constant en faveur du développement durable et la consommation responsable, Pernod Ricard a reçu la médaille d’or d’</w:t>
      </w:r>
      <w:proofErr w:type="spellStart"/>
      <w:r>
        <w:rPr>
          <w:rFonts w:ascii="Cambria" w:hAnsi="Cambria"/>
          <w:i/>
          <w:sz w:val="18"/>
          <w:bdr w:val="none" w:sz="0" w:space="0" w:color="auto" w:frame="1"/>
        </w:rPr>
        <w:t>Ecovadis</w:t>
      </w:r>
      <w:proofErr w:type="spellEnd"/>
      <w:r>
        <w:rPr>
          <w:rFonts w:ascii="Cambria" w:hAnsi="Cambria"/>
          <w:i/>
          <w:sz w:val="18"/>
          <w:bdr w:val="none" w:sz="0" w:space="0" w:color="auto" w:frame="1"/>
        </w:rPr>
        <w:t>. Pernod Ricard est également une entreprise membre du LEAD Global Compact des Nations Unies.</w:t>
      </w:r>
    </w:p>
    <w:p w14:paraId="34AC5359" w14:textId="77777777" w:rsidR="001A4BA4" w:rsidRPr="00050D47" w:rsidRDefault="001A4BA4" w:rsidP="001A4BA4">
      <w:pPr>
        <w:ind w:left="23"/>
        <w:jc w:val="both"/>
        <w:rPr>
          <w:rFonts w:ascii="Cambria" w:eastAsia="MS Mincho" w:hAnsi="Cambria"/>
          <w:i/>
          <w:iCs/>
          <w:sz w:val="18"/>
          <w:szCs w:val="18"/>
          <w:bdr w:val="none" w:sz="0" w:space="0" w:color="auto" w:frame="1"/>
        </w:rPr>
      </w:pPr>
      <w:bookmarkStart w:id="1" w:name="_Hlk49857300"/>
      <w:r>
        <w:rPr>
          <w:rFonts w:ascii="Cambria" w:hAnsi="Cambria"/>
          <w:i/>
          <w:sz w:val="18"/>
          <w:bdr w:val="none" w:sz="0" w:space="0" w:color="auto" w:frame="1"/>
        </w:rPr>
        <w:t>Pernod Ricard est coté sur Euronext (</w:t>
      </w:r>
      <w:proofErr w:type="spellStart"/>
      <w:r>
        <w:rPr>
          <w:rFonts w:ascii="Cambria" w:hAnsi="Cambria"/>
          <w:i/>
          <w:sz w:val="18"/>
          <w:bdr w:val="none" w:sz="0" w:space="0" w:color="auto" w:frame="1"/>
        </w:rPr>
        <w:t>Mnémo</w:t>
      </w:r>
      <w:proofErr w:type="spellEnd"/>
      <w:r>
        <w:rPr>
          <w:rFonts w:ascii="Cambria" w:hAnsi="Cambria"/>
          <w:i/>
          <w:sz w:val="18"/>
          <w:bdr w:val="none" w:sz="0" w:space="0" w:color="auto" w:frame="1"/>
        </w:rPr>
        <w:t xml:space="preserve"> : RI ; Code ISIN : FR0000120693) et fait partie des indices CAC 40 et </w:t>
      </w:r>
      <w:proofErr w:type="spellStart"/>
      <w:r>
        <w:rPr>
          <w:rFonts w:ascii="Cambria" w:hAnsi="Cambria"/>
          <w:i/>
          <w:sz w:val="18"/>
          <w:bdr w:val="none" w:sz="0" w:space="0" w:color="auto" w:frame="1"/>
        </w:rPr>
        <w:t>Eurostoxx</w:t>
      </w:r>
      <w:proofErr w:type="spellEnd"/>
      <w:r>
        <w:rPr>
          <w:rFonts w:ascii="Cambria" w:hAnsi="Cambria"/>
          <w:i/>
          <w:sz w:val="18"/>
          <w:bdr w:val="none" w:sz="0" w:space="0" w:color="auto" w:frame="1"/>
        </w:rPr>
        <w:t xml:space="preserve"> 50.</w:t>
      </w:r>
      <w:bookmarkEnd w:id="1"/>
    </w:p>
    <w:p w14:paraId="7CB01BE8" w14:textId="77777777" w:rsidR="007A5253" w:rsidRPr="00F1019E" w:rsidRDefault="007A5253" w:rsidP="00C90D75">
      <w:pPr>
        <w:jc w:val="both"/>
        <w:rPr>
          <w:b/>
          <w:bCs/>
          <w:i/>
          <w:iCs/>
          <w:color w:val="000000"/>
          <w:sz w:val="18"/>
          <w:szCs w:val="18"/>
        </w:rPr>
      </w:pPr>
    </w:p>
    <w:p w14:paraId="50446D67" w14:textId="45C8EC47" w:rsidR="00606237" w:rsidRPr="00BE5A12" w:rsidRDefault="00606237" w:rsidP="00C2516C">
      <w:pPr>
        <w:rPr>
          <w:rFonts w:cs="Arial"/>
          <w:b/>
          <w:bCs/>
          <w:sz w:val="21"/>
          <w:szCs w:val="21"/>
          <w:lang w:val="en-US"/>
        </w:rPr>
      </w:pPr>
      <w:r w:rsidRPr="00BE5A12">
        <w:rPr>
          <w:b/>
          <w:sz w:val="21"/>
          <w:lang w:val="en-US"/>
        </w:rPr>
        <w:t>Contacts</w:t>
      </w:r>
      <w:r w:rsidRPr="00BE5A12">
        <w:rPr>
          <w:sz w:val="18"/>
          <w:lang w:val="en-US"/>
        </w:rPr>
        <w:t xml:space="preserve"> </w:t>
      </w:r>
    </w:p>
    <w:p w14:paraId="56F10F91" w14:textId="77777777" w:rsidR="00FE4594" w:rsidRPr="00BE5A12" w:rsidRDefault="00FE4594" w:rsidP="00606237">
      <w:pPr>
        <w:tabs>
          <w:tab w:val="left" w:pos="7230"/>
        </w:tabs>
        <w:ind w:right="1"/>
        <w:jc w:val="both"/>
        <w:rPr>
          <w:sz w:val="20"/>
          <w:szCs w:val="28"/>
          <w:lang w:val="en-US"/>
        </w:rPr>
      </w:pPr>
    </w:p>
    <w:p w14:paraId="6F2B97B8" w14:textId="6CC1C5D8" w:rsidR="00C53734" w:rsidRDefault="00C53734" w:rsidP="00C53734">
      <w:pPr>
        <w:jc w:val="both"/>
        <w:rPr>
          <w:rFonts w:cs="Calibri"/>
          <w:b/>
          <w:i/>
          <w:iCs/>
          <w:color w:val="000000"/>
          <w:sz w:val="18"/>
          <w:szCs w:val="18"/>
          <w:lang w:val="en-US"/>
        </w:rPr>
      </w:pPr>
      <w:r>
        <w:rPr>
          <w:rFonts w:cs="Calibri"/>
          <w:b/>
          <w:i/>
          <w:iCs/>
          <w:color w:val="000000"/>
          <w:sz w:val="18"/>
          <w:szCs w:val="18"/>
          <w:lang w:val="en-US"/>
        </w:rPr>
        <w:t xml:space="preserve">Pernod Ricard </w:t>
      </w:r>
    </w:p>
    <w:p w14:paraId="76686474" w14:textId="77777777" w:rsidR="00C53734" w:rsidRDefault="00C53734" w:rsidP="00C53734">
      <w:pPr>
        <w:tabs>
          <w:tab w:val="left" w:pos="7230"/>
        </w:tabs>
        <w:ind w:right="1"/>
        <w:jc w:val="both"/>
        <w:rPr>
          <w:rFonts w:cs="Arial"/>
          <w:sz w:val="18"/>
          <w:szCs w:val="18"/>
          <w:lang w:val="en-US"/>
        </w:rPr>
      </w:pPr>
    </w:p>
    <w:p w14:paraId="1DE2A4AA" w14:textId="35107EE8" w:rsidR="00C53734" w:rsidRDefault="00C53734" w:rsidP="00C53734">
      <w:pPr>
        <w:tabs>
          <w:tab w:val="left" w:pos="7230"/>
        </w:tabs>
        <w:ind w:right="1"/>
        <w:jc w:val="both"/>
        <w:rPr>
          <w:rFonts w:cs="Arial"/>
          <w:b/>
          <w:bCs/>
          <w:sz w:val="18"/>
          <w:szCs w:val="18"/>
          <w:lang w:val="en-US"/>
        </w:rPr>
      </w:pPr>
      <w:r>
        <w:rPr>
          <w:rFonts w:cs="Arial"/>
          <w:b/>
          <w:bCs/>
          <w:sz w:val="18"/>
          <w:szCs w:val="18"/>
          <w:lang w:val="en-US"/>
        </w:rPr>
        <w:t xml:space="preserve">Relations </w:t>
      </w:r>
      <w:proofErr w:type="spellStart"/>
      <w:r>
        <w:rPr>
          <w:rFonts w:cs="Arial"/>
          <w:b/>
          <w:bCs/>
          <w:sz w:val="18"/>
          <w:szCs w:val="18"/>
          <w:lang w:val="en-US"/>
        </w:rPr>
        <w:t>Investisseurs</w:t>
      </w:r>
      <w:proofErr w:type="spellEnd"/>
    </w:p>
    <w:p w14:paraId="1AD3BE3D" w14:textId="77777777" w:rsidR="00C53734" w:rsidRDefault="00C53734" w:rsidP="00C53734">
      <w:pPr>
        <w:tabs>
          <w:tab w:val="left" w:pos="7230"/>
        </w:tabs>
        <w:ind w:right="1"/>
        <w:jc w:val="both"/>
        <w:rPr>
          <w:rFonts w:cs="Arial"/>
          <w:sz w:val="18"/>
          <w:szCs w:val="18"/>
          <w:lang w:val="en-US"/>
        </w:rPr>
      </w:pPr>
      <w:r>
        <w:rPr>
          <w:rFonts w:cs="Arial"/>
          <w:sz w:val="18"/>
          <w:szCs w:val="18"/>
          <w:lang w:val="en-US"/>
        </w:rPr>
        <w:t>Florence Tresarrieu / Global SVP Investors Relations and Treasury</w:t>
      </w:r>
      <w:r>
        <w:rPr>
          <w:rFonts w:cs="Arial"/>
          <w:sz w:val="18"/>
          <w:szCs w:val="18"/>
          <w:lang w:val="en-US"/>
        </w:rPr>
        <w:tab/>
        <w:t>+33 (0) 1 70 93 17 03</w:t>
      </w:r>
    </w:p>
    <w:p w14:paraId="4835F1A4" w14:textId="77777777" w:rsidR="00C53734" w:rsidRDefault="00C53734" w:rsidP="00C53734">
      <w:pPr>
        <w:tabs>
          <w:tab w:val="left" w:pos="7230"/>
        </w:tabs>
        <w:ind w:right="1"/>
        <w:jc w:val="both"/>
        <w:rPr>
          <w:rFonts w:cs="Arial"/>
          <w:sz w:val="18"/>
          <w:szCs w:val="18"/>
          <w:lang w:val="en-US"/>
        </w:rPr>
      </w:pPr>
      <w:r>
        <w:rPr>
          <w:rFonts w:cs="Arial"/>
          <w:sz w:val="18"/>
          <w:szCs w:val="18"/>
          <w:lang w:val="en-US"/>
        </w:rPr>
        <w:t>Edward Mayle / Investor Relations Director</w:t>
      </w:r>
      <w:r>
        <w:rPr>
          <w:rFonts w:cs="Arial"/>
          <w:sz w:val="18"/>
          <w:szCs w:val="18"/>
          <w:lang w:val="en-US"/>
        </w:rPr>
        <w:tab/>
        <w:t>+33 (0) 1 70 93 17 13</w:t>
      </w:r>
    </w:p>
    <w:p w14:paraId="5884055B" w14:textId="77777777" w:rsidR="00C53734" w:rsidRDefault="00C53734" w:rsidP="00C53734">
      <w:pPr>
        <w:tabs>
          <w:tab w:val="left" w:pos="7230"/>
        </w:tabs>
        <w:ind w:right="1"/>
        <w:jc w:val="both"/>
        <w:rPr>
          <w:lang w:val="en-US"/>
        </w:rPr>
      </w:pPr>
      <w:r>
        <w:rPr>
          <w:rFonts w:cs="Arial"/>
          <w:sz w:val="18"/>
          <w:szCs w:val="18"/>
          <w:lang w:val="en-US"/>
        </w:rPr>
        <w:t>Charly Montet / Investor Relations Manager</w:t>
      </w:r>
      <w:r>
        <w:rPr>
          <w:rFonts w:cs="Arial"/>
          <w:sz w:val="18"/>
          <w:szCs w:val="18"/>
          <w:lang w:val="en-US"/>
        </w:rPr>
        <w:tab/>
        <w:t xml:space="preserve">+33 (0) 1 70 93 17 13 </w:t>
      </w:r>
    </w:p>
    <w:p w14:paraId="5BCE59A9" w14:textId="77777777" w:rsidR="00C53734" w:rsidRDefault="00C53734" w:rsidP="00C53734">
      <w:pPr>
        <w:tabs>
          <w:tab w:val="left" w:pos="7230"/>
        </w:tabs>
        <w:ind w:right="1"/>
        <w:jc w:val="both"/>
        <w:rPr>
          <w:rFonts w:cs="Arial"/>
          <w:sz w:val="18"/>
          <w:szCs w:val="18"/>
          <w:lang w:val="en-GB"/>
        </w:rPr>
      </w:pPr>
    </w:p>
    <w:p w14:paraId="16528DED" w14:textId="77777777" w:rsidR="00C53734" w:rsidRPr="00C53734" w:rsidRDefault="00C53734" w:rsidP="00C53734">
      <w:pPr>
        <w:tabs>
          <w:tab w:val="left" w:pos="7230"/>
        </w:tabs>
        <w:ind w:right="1"/>
        <w:jc w:val="both"/>
        <w:rPr>
          <w:rFonts w:cs="Arial"/>
          <w:b/>
          <w:bCs/>
          <w:sz w:val="18"/>
          <w:szCs w:val="18"/>
          <w:lang w:val="en-US"/>
        </w:rPr>
      </w:pPr>
      <w:r w:rsidRPr="00C53734">
        <w:rPr>
          <w:rFonts w:cs="Arial"/>
          <w:b/>
          <w:bCs/>
          <w:sz w:val="18"/>
          <w:szCs w:val="18"/>
          <w:lang w:val="en-US"/>
        </w:rPr>
        <w:t>Media</w:t>
      </w:r>
    </w:p>
    <w:p w14:paraId="781B754A" w14:textId="77777777" w:rsidR="00C53734" w:rsidRPr="00C53734" w:rsidRDefault="00C53734" w:rsidP="00C53734">
      <w:pPr>
        <w:tabs>
          <w:tab w:val="left" w:pos="7230"/>
        </w:tabs>
        <w:ind w:right="1"/>
        <w:jc w:val="both"/>
        <w:rPr>
          <w:rFonts w:cs="Arial"/>
          <w:sz w:val="18"/>
          <w:szCs w:val="18"/>
          <w:lang w:val="en-US"/>
        </w:rPr>
      </w:pPr>
      <w:r w:rsidRPr="00C53734">
        <w:rPr>
          <w:rFonts w:cs="Arial"/>
          <w:sz w:val="18"/>
          <w:szCs w:val="18"/>
          <w:lang w:val="en-US"/>
        </w:rPr>
        <w:t>Emmanuel Vouin / Head of External Engagement</w:t>
      </w:r>
      <w:r w:rsidRPr="00C53734">
        <w:rPr>
          <w:rFonts w:cs="Arial"/>
          <w:sz w:val="18"/>
          <w:szCs w:val="18"/>
          <w:lang w:val="en-US"/>
        </w:rPr>
        <w:tab/>
        <w:t>+33 (0) 1 70 93 16 34</w:t>
      </w:r>
    </w:p>
    <w:p w14:paraId="02B3C32E" w14:textId="77777777" w:rsidR="00606237" w:rsidRPr="00C53734" w:rsidRDefault="00606237" w:rsidP="00606237">
      <w:pPr>
        <w:tabs>
          <w:tab w:val="left" w:pos="7230"/>
        </w:tabs>
        <w:ind w:right="1"/>
        <w:jc w:val="both"/>
        <w:rPr>
          <w:rFonts w:cs="Arial"/>
          <w:sz w:val="20"/>
          <w:szCs w:val="20"/>
          <w:lang w:val="en-US"/>
        </w:rPr>
      </w:pPr>
    </w:p>
    <w:sectPr w:rsidR="00606237" w:rsidRPr="00C53734">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9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A312" w14:textId="77777777" w:rsidR="009B6486" w:rsidRDefault="009B6486">
      <w:r>
        <w:separator/>
      </w:r>
    </w:p>
  </w:endnote>
  <w:endnote w:type="continuationSeparator" w:id="0">
    <w:p w14:paraId="6682141C" w14:textId="77777777" w:rsidR="009B6486" w:rsidRDefault="009B6486">
      <w:r>
        <w:continuationSeparator/>
      </w:r>
    </w:p>
  </w:endnote>
  <w:endnote w:type="continuationNotice" w:id="1">
    <w:p w14:paraId="6E13B966" w14:textId="77777777" w:rsidR="009B6486" w:rsidRDefault="009B6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D85F" w14:textId="77777777" w:rsidR="006B6841" w:rsidRDefault="006B68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CB7B" w14:textId="77777777" w:rsidR="006B6841" w:rsidRDefault="006B68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679" w14:textId="77777777" w:rsidR="006B6841" w:rsidRDefault="006B6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07DA" w14:textId="77777777" w:rsidR="009B6486" w:rsidRDefault="009B6486">
      <w:r>
        <w:separator/>
      </w:r>
    </w:p>
  </w:footnote>
  <w:footnote w:type="continuationSeparator" w:id="0">
    <w:p w14:paraId="39166198" w14:textId="77777777" w:rsidR="009B6486" w:rsidRDefault="009B6486">
      <w:r>
        <w:continuationSeparator/>
      </w:r>
    </w:p>
  </w:footnote>
  <w:footnote w:type="continuationNotice" w:id="1">
    <w:p w14:paraId="77B3FB84" w14:textId="77777777" w:rsidR="009B6486" w:rsidRDefault="009B6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9D8A" w14:textId="77777777" w:rsidR="006B6841" w:rsidRDefault="006B68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0537" w14:textId="77777777" w:rsidR="006B6841" w:rsidRDefault="006B68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834" w14:textId="77777777" w:rsidR="006B6841" w:rsidRDefault="006B68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3CA"/>
    <w:multiLevelType w:val="hybridMultilevel"/>
    <w:tmpl w:val="44B2B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A4482"/>
    <w:multiLevelType w:val="hybridMultilevel"/>
    <w:tmpl w:val="64F69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B6CDD"/>
    <w:multiLevelType w:val="hybridMultilevel"/>
    <w:tmpl w:val="5CF6E2D6"/>
    <w:lvl w:ilvl="0" w:tplc="9E4A19D8">
      <w:start w:val="1"/>
      <w:numFmt w:val="bullet"/>
      <w:lvlText w:val="−"/>
      <w:lvlJc w:val="left"/>
      <w:pPr>
        <w:ind w:left="990" w:hanging="360"/>
      </w:pPr>
      <w:rPr>
        <w:rFonts w:ascii="Calibri" w:hAnsi="Calibri" w:hint="default"/>
      </w:rPr>
    </w:lvl>
    <w:lvl w:ilvl="1" w:tplc="080A0003">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 w15:restartNumberingAfterBreak="0">
    <w:nsid w:val="3C6A76D5"/>
    <w:multiLevelType w:val="hybridMultilevel"/>
    <w:tmpl w:val="359E4842"/>
    <w:lvl w:ilvl="0" w:tplc="7B503C0E">
      <w:numFmt w:val="bullet"/>
      <w:lvlText w:val="-"/>
      <w:lvlJc w:val="left"/>
      <w:pPr>
        <w:ind w:left="0" w:hanging="360"/>
      </w:pPr>
      <w:rPr>
        <w:rFonts w:ascii="Calibri" w:eastAsia="Calibri"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4" w15:restartNumberingAfterBreak="0">
    <w:nsid w:val="40F9608C"/>
    <w:multiLevelType w:val="hybridMultilevel"/>
    <w:tmpl w:val="430A5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16C27"/>
    <w:multiLevelType w:val="hybridMultilevel"/>
    <w:tmpl w:val="AE4C1C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75016E48"/>
    <w:multiLevelType w:val="hybridMultilevel"/>
    <w:tmpl w:val="3B8833BE"/>
    <w:lvl w:ilvl="0" w:tplc="B6CE9A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E96E7E"/>
    <w:multiLevelType w:val="hybridMultilevel"/>
    <w:tmpl w:val="54500812"/>
    <w:lvl w:ilvl="0" w:tplc="D5F6EE1A">
      <w:start w:val="1"/>
      <w:numFmt w:val="bullet"/>
      <w:lvlText w:val="-"/>
      <w:lvlJc w:val="left"/>
      <w:pPr>
        <w:tabs>
          <w:tab w:val="num" w:pos="720"/>
        </w:tabs>
        <w:ind w:left="720" w:hanging="360"/>
      </w:pPr>
      <w:rPr>
        <w:rFonts w:ascii="Times New Roman" w:hAnsi="Times New Roman" w:hint="default"/>
      </w:rPr>
    </w:lvl>
    <w:lvl w:ilvl="1" w:tplc="0C346358" w:tentative="1">
      <w:start w:val="1"/>
      <w:numFmt w:val="bullet"/>
      <w:lvlText w:val="-"/>
      <w:lvlJc w:val="left"/>
      <w:pPr>
        <w:tabs>
          <w:tab w:val="num" w:pos="1440"/>
        </w:tabs>
        <w:ind w:left="1440" w:hanging="360"/>
      </w:pPr>
      <w:rPr>
        <w:rFonts w:ascii="Times New Roman" w:hAnsi="Times New Roman" w:hint="default"/>
      </w:rPr>
    </w:lvl>
    <w:lvl w:ilvl="2" w:tplc="B0FAD5C6" w:tentative="1">
      <w:start w:val="1"/>
      <w:numFmt w:val="bullet"/>
      <w:lvlText w:val="-"/>
      <w:lvlJc w:val="left"/>
      <w:pPr>
        <w:tabs>
          <w:tab w:val="num" w:pos="2160"/>
        </w:tabs>
        <w:ind w:left="2160" w:hanging="360"/>
      </w:pPr>
      <w:rPr>
        <w:rFonts w:ascii="Times New Roman" w:hAnsi="Times New Roman" w:hint="default"/>
      </w:rPr>
    </w:lvl>
    <w:lvl w:ilvl="3" w:tplc="913883BE" w:tentative="1">
      <w:start w:val="1"/>
      <w:numFmt w:val="bullet"/>
      <w:lvlText w:val="-"/>
      <w:lvlJc w:val="left"/>
      <w:pPr>
        <w:tabs>
          <w:tab w:val="num" w:pos="2880"/>
        </w:tabs>
        <w:ind w:left="2880" w:hanging="360"/>
      </w:pPr>
      <w:rPr>
        <w:rFonts w:ascii="Times New Roman" w:hAnsi="Times New Roman" w:hint="default"/>
      </w:rPr>
    </w:lvl>
    <w:lvl w:ilvl="4" w:tplc="9C1C5CE6" w:tentative="1">
      <w:start w:val="1"/>
      <w:numFmt w:val="bullet"/>
      <w:lvlText w:val="-"/>
      <w:lvlJc w:val="left"/>
      <w:pPr>
        <w:tabs>
          <w:tab w:val="num" w:pos="3600"/>
        </w:tabs>
        <w:ind w:left="3600" w:hanging="360"/>
      </w:pPr>
      <w:rPr>
        <w:rFonts w:ascii="Times New Roman" w:hAnsi="Times New Roman" w:hint="default"/>
      </w:rPr>
    </w:lvl>
    <w:lvl w:ilvl="5" w:tplc="57000176" w:tentative="1">
      <w:start w:val="1"/>
      <w:numFmt w:val="bullet"/>
      <w:lvlText w:val="-"/>
      <w:lvlJc w:val="left"/>
      <w:pPr>
        <w:tabs>
          <w:tab w:val="num" w:pos="4320"/>
        </w:tabs>
        <w:ind w:left="4320" w:hanging="360"/>
      </w:pPr>
      <w:rPr>
        <w:rFonts w:ascii="Times New Roman" w:hAnsi="Times New Roman" w:hint="default"/>
      </w:rPr>
    </w:lvl>
    <w:lvl w:ilvl="6" w:tplc="85D6F2FC" w:tentative="1">
      <w:start w:val="1"/>
      <w:numFmt w:val="bullet"/>
      <w:lvlText w:val="-"/>
      <w:lvlJc w:val="left"/>
      <w:pPr>
        <w:tabs>
          <w:tab w:val="num" w:pos="5040"/>
        </w:tabs>
        <w:ind w:left="5040" w:hanging="360"/>
      </w:pPr>
      <w:rPr>
        <w:rFonts w:ascii="Times New Roman" w:hAnsi="Times New Roman" w:hint="default"/>
      </w:rPr>
    </w:lvl>
    <w:lvl w:ilvl="7" w:tplc="55DA2660" w:tentative="1">
      <w:start w:val="1"/>
      <w:numFmt w:val="bullet"/>
      <w:lvlText w:val="-"/>
      <w:lvlJc w:val="left"/>
      <w:pPr>
        <w:tabs>
          <w:tab w:val="num" w:pos="5760"/>
        </w:tabs>
        <w:ind w:left="5760" w:hanging="360"/>
      </w:pPr>
      <w:rPr>
        <w:rFonts w:ascii="Times New Roman" w:hAnsi="Times New Roman" w:hint="default"/>
      </w:rPr>
    </w:lvl>
    <w:lvl w:ilvl="8" w:tplc="B4A010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DC304DB"/>
    <w:multiLevelType w:val="hybridMultilevel"/>
    <w:tmpl w:val="DC484204"/>
    <w:lvl w:ilvl="0" w:tplc="92368E3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5"/>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A5253"/>
    <w:rsid w:val="0000040C"/>
    <w:rsid w:val="0000274D"/>
    <w:rsid w:val="0000345B"/>
    <w:rsid w:val="0000563A"/>
    <w:rsid w:val="00012450"/>
    <w:rsid w:val="00013111"/>
    <w:rsid w:val="000165B0"/>
    <w:rsid w:val="00017115"/>
    <w:rsid w:val="00021C23"/>
    <w:rsid w:val="00021CBB"/>
    <w:rsid w:val="00022449"/>
    <w:rsid w:val="00022A3D"/>
    <w:rsid w:val="0002356D"/>
    <w:rsid w:val="00032565"/>
    <w:rsid w:val="00033873"/>
    <w:rsid w:val="00042DF9"/>
    <w:rsid w:val="00042E09"/>
    <w:rsid w:val="000438F5"/>
    <w:rsid w:val="00045340"/>
    <w:rsid w:val="000478C7"/>
    <w:rsid w:val="00050D47"/>
    <w:rsid w:val="00051491"/>
    <w:rsid w:val="0005737A"/>
    <w:rsid w:val="00060C06"/>
    <w:rsid w:val="00061C6B"/>
    <w:rsid w:val="000630F7"/>
    <w:rsid w:val="000648F8"/>
    <w:rsid w:val="00067332"/>
    <w:rsid w:val="00072412"/>
    <w:rsid w:val="0007648B"/>
    <w:rsid w:val="0008253B"/>
    <w:rsid w:val="00083546"/>
    <w:rsid w:val="00085670"/>
    <w:rsid w:val="00086F88"/>
    <w:rsid w:val="00092015"/>
    <w:rsid w:val="000A1D63"/>
    <w:rsid w:val="000A5CF6"/>
    <w:rsid w:val="000A6466"/>
    <w:rsid w:val="000B1A78"/>
    <w:rsid w:val="000B2F48"/>
    <w:rsid w:val="000B4E3D"/>
    <w:rsid w:val="000C1594"/>
    <w:rsid w:val="000C2DDB"/>
    <w:rsid w:val="000C6E8E"/>
    <w:rsid w:val="000D12D2"/>
    <w:rsid w:val="000D641A"/>
    <w:rsid w:val="000D6584"/>
    <w:rsid w:val="000D6C81"/>
    <w:rsid w:val="000E135E"/>
    <w:rsid w:val="000E67EF"/>
    <w:rsid w:val="000E6DF3"/>
    <w:rsid w:val="000E7D11"/>
    <w:rsid w:val="000F0196"/>
    <w:rsid w:val="000F2D4C"/>
    <w:rsid w:val="000F4633"/>
    <w:rsid w:val="00100811"/>
    <w:rsid w:val="0010661D"/>
    <w:rsid w:val="00111E1C"/>
    <w:rsid w:val="001150C3"/>
    <w:rsid w:val="00115410"/>
    <w:rsid w:val="0012019C"/>
    <w:rsid w:val="00125AE3"/>
    <w:rsid w:val="00131595"/>
    <w:rsid w:val="0013375D"/>
    <w:rsid w:val="00134B22"/>
    <w:rsid w:val="001406AE"/>
    <w:rsid w:val="001420CD"/>
    <w:rsid w:val="00145AC8"/>
    <w:rsid w:val="0015100E"/>
    <w:rsid w:val="00151B1A"/>
    <w:rsid w:val="00152329"/>
    <w:rsid w:val="00152720"/>
    <w:rsid w:val="00152C80"/>
    <w:rsid w:val="0015439B"/>
    <w:rsid w:val="00156C71"/>
    <w:rsid w:val="00157418"/>
    <w:rsid w:val="0016271B"/>
    <w:rsid w:val="00162D83"/>
    <w:rsid w:val="0016499C"/>
    <w:rsid w:val="00172C88"/>
    <w:rsid w:val="00176973"/>
    <w:rsid w:val="00176B71"/>
    <w:rsid w:val="001770A2"/>
    <w:rsid w:val="00186D05"/>
    <w:rsid w:val="00186FED"/>
    <w:rsid w:val="00187158"/>
    <w:rsid w:val="0018742E"/>
    <w:rsid w:val="00191C75"/>
    <w:rsid w:val="0019383C"/>
    <w:rsid w:val="001A2F1D"/>
    <w:rsid w:val="001A2F92"/>
    <w:rsid w:val="001A40E1"/>
    <w:rsid w:val="001A4BA4"/>
    <w:rsid w:val="001B2A1A"/>
    <w:rsid w:val="001B334F"/>
    <w:rsid w:val="001B3742"/>
    <w:rsid w:val="001B589D"/>
    <w:rsid w:val="001C4E9C"/>
    <w:rsid w:val="001C75AD"/>
    <w:rsid w:val="001D100C"/>
    <w:rsid w:val="001D1418"/>
    <w:rsid w:val="001D320F"/>
    <w:rsid w:val="001D543B"/>
    <w:rsid w:val="001D54BF"/>
    <w:rsid w:val="001E2C9C"/>
    <w:rsid w:val="001E66DE"/>
    <w:rsid w:val="001F6581"/>
    <w:rsid w:val="0020326F"/>
    <w:rsid w:val="00210135"/>
    <w:rsid w:val="00211D91"/>
    <w:rsid w:val="002137EE"/>
    <w:rsid w:val="00217E63"/>
    <w:rsid w:val="002232E7"/>
    <w:rsid w:val="002242C5"/>
    <w:rsid w:val="00230911"/>
    <w:rsid w:val="00240EF1"/>
    <w:rsid w:val="00241A4B"/>
    <w:rsid w:val="00242242"/>
    <w:rsid w:val="00244139"/>
    <w:rsid w:val="002476BA"/>
    <w:rsid w:val="00250D7D"/>
    <w:rsid w:val="002608BE"/>
    <w:rsid w:val="00263788"/>
    <w:rsid w:val="00266BC0"/>
    <w:rsid w:val="0027033D"/>
    <w:rsid w:val="00270FBC"/>
    <w:rsid w:val="002711CA"/>
    <w:rsid w:val="002731D2"/>
    <w:rsid w:val="00274490"/>
    <w:rsid w:val="00274916"/>
    <w:rsid w:val="00275AA2"/>
    <w:rsid w:val="00277844"/>
    <w:rsid w:val="00280E30"/>
    <w:rsid w:val="00280E8E"/>
    <w:rsid w:val="00281D68"/>
    <w:rsid w:val="002825B5"/>
    <w:rsid w:val="00297F37"/>
    <w:rsid w:val="002B2032"/>
    <w:rsid w:val="002C0F67"/>
    <w:rsid w:val="002C1183"/>
    <w:rsid w:val="002C1950"/>
    <w:rsid w:val="002C2E74"/>
    <w:rsid w:val="002C6B84"/>
    <w:rsid w:val="002D1F8A"/>
    <w:rsid w:val="002D250E"/>
    <w:rsid w:val="002D2FCE"/>
    <w:rsid w:val="002D48C3"/>
    <w:rsid w:val="002D659B"/>
    <w:rsid w:val="002E0765"/>
    <w:rsid w:val="002E2206"/>
    <w:rsid w:val="002E3864"/>
    <w:rsid w:val="002F0554"/>
    <w:rsid w:val="002F334E"/>
    <w:rsid w:val="002F3BFA"/>
    <w:rsid w:val="002F5B9D"/>
    <w:rsid w:val="002F5C89"/>
    <w:rsid w:val="00304B5B"/>
    <w:rsid w:val="0031039D"/>
    <w:rsid w:val="00313488"/>
    <w:rsid w:val="00316435"/>
    <w:rsid w:val="00324CF4"/>
    <w:rsid w:val="00324E43"/>
    <w:rsid w:val="003271BB"/>
    <w:rsid w:val="003301DF"/>
    <w:rsid w:val="0033094C"/>
    <w:rsid w:val="00341266"/>
    <w:rsid w:val="00343017"/>
    <w:rsid w:val="0034623A"/>
    <w:rsid w:val="00347556"/>
    <w:rsid w:val="0035020B"/>
    <w:rsid w:val="00352EE1"/>
    <w:rsid w:val="00354D51"/>
    <w:rsid w:val="00355189"/>
    <w:rsid w:val="00361EA0"/>
    <w:rsid w:val="003634F4"/>
    <w:rsid w:val="00364E57"/>
    <w:rsid w:val="00366FAC"/>
    <w:rsid w:val="00373A21"/>
    <w:rsid w:val="00374B86"/>
    <w:rsid w:val="0038302D"/>
    <w:rsid w:val="00384397"/>
    <w:rsid w:val="003905E9"/>
    <w:rsid w:val="003928A9"/>
    <w:rsid w:val="00396E33"/>
    <w:rsid w:val="003A214B"/>
    <w:rsid w:val="003A4C73"/>
    <w:rsid w:val="003A5249"/>
    <w:rsid w:val="003A6097"/>
    <w:rsid w:val="003B0894"/>
    <w:rsid w:val="003B58D0"/>
    <w:rsid w:val="003C0DB7"/>
    <w:rsid w:val="003C46D1"/>
    <w:rsid w:val="003C4C49"/>
    <w:rsid w:val="003C67F3"/>
    <w:rsid w:val="003D1AAD"/>
    <w:rsid w:val="003D3540"/>
    <w:rsid w:val="003D3C0B"/>
    <w:rsid w:val="003D4BF2"/>
    <w:rsid w:val="003D5421"/>
    <w:rsid w:val="003D5EE0"/>
    <w:rsid w:val="003E0CED"/>
    <w:rsid w:val="003E1148"/>
    <w:rsid w:val="003E611E"/>
    <w:rsid w:val="003F2F77"/>
    <w:rsid w:val="003F4A95"/>
    <w:rsid w:val="003F4D94"/>
    <w:rsid w:val="003F76A9"/>
    <w:rsid w:val="0040223E"/>
    <w:rsid w:val="00405DC4"/>
    <w:rsid w:val="00406AB4"/>
    <w:rsid w:val="00412778"/>
    <w:rsid w:val="00414A53"/>
    <w:rsid w:val="004161EC"/>
    <w:rsid w:val="00416212"/>
    <w:rsid w:val="0043080C"/>
    <w:rsid w:val="004342A1"/>
    <w:rsid w:val="00435948"/>
    <w:rsid w:val="00435B0E"/>
    <w:rsid w:val="00440C39"/>
    <w:rsid w:val="00452C85"/>
    <w:rsid w:val="004538F4"/>
    <w:rsid w:val="0045586D"/>
    <w:rsid w:val="004630D5"/>
    <w:rsid w:val="0047195A"/>
    <w:rsid w:val="00474501"/>
    <w:rsid w:val="00485CBF"/>
    <w:rsid w:val="00492FA7"/>
    <w:rsid w:val="004934BB"/>
    <w:rsid w:val="00494CD1"/>
    <w:rsid w:val="00496211"/>
    <w:rsid w:val="0049756A"/>
    <w:rsid w:val="00497D3D"/>
    <w:rsid w:val="004A1485"/>
    <w:rsid w:val="004A3E47"/>
    <w:rsid w:val="004A6D11"/>
    <w:rsid w:val="004A7928"/>
    <w:rsid w:val="004B4DF4"/>
    <w:rsid w:val="004B6A9A"/>
    <w:rsid w:val="004C06FB"/>
    <w:rsid w:val="004C259F"/>
    <w:rsid w:val="004C5D06"/>
    <w:rsid w:val="004D09A0"/>
    <w:rsid w:val="004D0A7B"/>
    <w:rsid w:val="004D74DB"/>
    <w:rsid w:val="004E4762"/>
    <w:rsid w:val="004E7F9C"/>
    <w:rsid w:val="004F0E1A"/>
    <w:rsid w:val="004F21E5"/>
    <w:rsid w:val="004F66A2"/>
    <w:rsid w:val="004F74E8"/>
    <w:rsid w:val="004F7531"/>
    <w:rsid w:val="0050102D"/>
    <w:rsid w:val="0050193A"/>
    <w:rsid w:val="00501BCF"/>
    <w:rsid w:val="0050341F"/>
    <w:rsid w:val="005120E1"/>
    <w:rsid w:val="00513A52"/>
    <w:rsid w:val="005140F7"/>
    <w:rsid w:val="00516D37"/>
    <w:rsid w:val="00521EFA"/>
    <w:rsid w:val="00525915"/>
    <w:rsid w:val="0052753E"/>
    <w:rsid w:val="00530318"/>
    <w:rsid w:val="00530710"/>
    <w:rsid w:val="0053222C"/>
    <w:rsid w:val="00540657"/>
    <w:rsid w:val="00540764"/>
    <w:rsid w:val="00547350"/>
    <w:rsid w:val="0055190A"/>
    <w:rsid w:val="00553249"/>
    <w:rsid w:val="0055356C"/>
    <w:rsid w:val="005553B2"/>
    <w:rsid w:val="00557EC8"/>
    <w:rsid w:val="00560A47"/>
    <w:rsid w:val="00560E9C"/>
    <w:rsid w:val="005617DD"/>
    <w:rsid w:val="00561C82"/>
    <w:rsid w:val="00563651"/>
    <w:rsid w:val="005640FF"/>
    <w:rsid w:val="00566FAE"/>
    <w:rsid w:val="00571E04"/>
    <w:rsid w:val="00572A86"/>
    <w:rsid w:val="00573430"/>
    <w:rsid w:val="0057768A"/>
    <w:rsid w:val="00583255"/>
    <w:rsid w:val="00584B84"/>
    <w:rsid w:val="00584F9D"/>
    <w:rsid w:val="00591757"/>
    <w:rsid w:val="00594975"/>
    <w:rsid w:val="00595739"/>
    <w:rsid w:val="0059727B"/>
    <w:rsid w:val="005A3F5D"/>
    <w:rsid w:val="005A4EEE"/>
    <w:rsid w:val="005A5116"/>
    <w:rsid w:val="005A59E7"/>
    <w:rsid w:val="005B212E"/>
    <w:rsid w:val="005C3748"/>
    <w:rsid w:val="005C7DF4"/>
    <w:rsid w:val="005D2A85"/>
    <w:rsid w:val="005D2C86"/>
    <w:rsid w:val="005D5DFB"/>
    <w:rsid w:val="005D723D"/>
    <w:rsid w:val="005E0234"/>
    <w:rsid w:val="005E0EA1"/>
    <w:rsid w:val="005E194F"/>
    <w:rsid w:val="005E3437"/>
    <w:rsid w:val="005E3BB9"/>
    <w:rsid w:val="005F153A"/>
    <w:rsid w:val="005F365E"/>
    <w:rsid w:val="005F46A3"/>
    <w:rsid w:val="005F54F7"/>
    <w:rsid w:val="006008D4"/>
    <w:rsid w:val="00600906"/>
    <w:rsid w:val="00603B07"/>
    <w:rsid w:val="00606237"/>
    <w:rsid w:val="00610384"/>
    <w:rsid w:val="00615B44"/>
    <w:rsid w:val="0061684B"/>
    <w:rsid w:val="00634783"/>
    <w:rsid w:val="00637F15"/>
    <w:rsid w:val="00640FB1"/>
    <w:rsid w:val="00642E83"/>
    <w:rsid w:val="00645B03"/>
    <w:rsid w:val="00650FC0"/>
    <w:rsid w:val="006527E0"/>
    <w:rsid w:val="006564F0"/>
    <w:rsid w:val="006616EF"/>
    <w:rsid w:val="00662C71"/>
    <w:rsid w:val="0066452A"/>
    <w:rsid w:val="00666CBA"/>
    <w:rsid w:val="006674E3"/>
    <w:rsid w:val="00673F50"/>
    <w:rsid w:val="00676587"/>
    <w:rsid w:val="006837A2"/>
    <w:rsid w:val="006850B4"/>
    <w:rsid w:val="00685ACA"/>
    <w:rsid w:val="00692BE6"/>
    <w:rsid w:val="00692BE9"/>
    <w:rsid w:val="006931D6"/>
    <w:rsid w:val="006942AF"/>
    <w:rsid w:val="006A1D10"/>
    <w:rsid w:val="006A2681"/>
    <w:rsid w:val="006A606C"/>
    <w:rsid w:val="006B16A6"/>
    <w:rsid w:val="006B54CE"/>
    <w:rsid w:val="006B58E9"/>
    <w:rsid w:val="006B6841"/>
    <w:rsid w:val="006C24F9"/>
    <w:rsid w:val="006D01D4"/>
    <w:rsid w:val="006E30F1"/>
    <w:rsid w:val="006F0C12"/>
    <w:rsid w:val="006F1023"/>
    <w:rsid w:val="006F2CF2"/>
    <w:rsid w:val="006F33E8"/>
    <w:rsid w:val="00700D6A"/>
    <w:rsid w:val="007019A5"/>
    <w:rsid w:val="0070216F"/>
    <w:rsid w:val="0070280C"/>
    <w:rsid w:val="00703BCF"/>
    <w:rsid w:val="00704A53"/>
    <w:rsid w:val="00705DEB"/>
    <w:rsid w:val="00711206"/>
    <w:rsid w:val="007151F0"/>
    <w:rsid w:val="007251DD"/>
    <w:rsid w:val="0072630A"/>
    <w:rsid w:val="007264D1"/>
    <w:rsid w:val="0072759E"/>
    <w:rsid w:val="00731620"/>
    <w:rsid w:val="00735C23"/>
    <w:rsid w:val="00736784"/>
    <w:rsid w:val="00737AAC"/>
    <w:rsid w:val="00741467"/>
    <w:rsid w:val="00743EFF"/>
    <w:rsid w:val="0075229B"/>
    <w:rsid w:val="007526C9"/>
    <w:rsid w:val="007579F5"/>
    <w:rsid w:val="007608CF"/>
    <w:rsid w:val="00762CD1"/>
    <w:rsid w:val="0076346A"/>
    <w:rsid w:val="0076422E"/>
    <w:rsid w:val="007717D0"/>
    <w:rsid w:val="0077261E"/>
    <w:rsid w:val="007741D1"/>
    <w:rsid w:val="00780D29"/>
    <w:rsid w:val="007836F1"/>
    <w:rsid w:val="0078514C"/>
    <w:rsid w:val="007875B1"/>
    <w:rsid w:val="0078779A"/>
    <w:rsid w:val="007904B7"/>
    <w:rsid w:val="00791F9F"/>
    <w:rsid w:val="00793994"/>
    <w:rsid w:val="00797716"/>
    <w:rsid w:val="007A04D3"/>
    <w:rsid w:val="007A427C"/>
    <w:rsid w:val="007A4819"/>
    <w:rsid w:val="007A5253"/>
    <w:rsid w:val="007B0333"/>
    <w:rsid w:val="007B41A6"/>
    <w:rsid w:val="007B63BD"/>
    <w:rsid w:val="007B6952"/>
    <w:rsid w:val="007B7A02"/>
    <w:rsid w:val="007C4758"/>
    <w:rsid w:val="007C4DE0"/>
    <w:rsid w:val="007C7412"/>
    <w:rsid w:val="007C771E"/>
    <w:rsid w:val="007D0D64"/>
    <w:rsid w:val="007D44F3"/>
    <w:rsid w:val="007D538D"/>
    <w:rsid w:val="007D5E75"/>
    <w:rsid w:val="007D6B14"/>
    <w:rsid w:val="007E3E15"/>
    <w:rsid w:val="007E6AF0"/>
    <w:rsid w:val="007E6D88"/>
    <w:rsid w:val="007F04F5"/>
    <w:rsid w:val="007F0D3D"/>
    <w:rsid w:val="007F5609"/>
    <w:rsid w:val="007F79E1"/>
    <w:rsid w:val="008000D9"/>
    <w:rsid w:val="00805087"/>
    <w:rsid w:val="00807B82"/>
    <w:rsid w:val="0081386B"/>
    <w:rsid w:val="00815CB4"/>
    <w:rsid w:val="008163A9"/>
    <w:rsid w:val="00837394"/>
    <w:rsid w:val="0084073F"/>
    <w:rsid w:val="00841F96"/>
    <w:rsid w:val="0084219A"/>
    <w:rsid w:val="0084240F"/>
    <w:rsid w:val="00842F7D"/>
    <w:rsid w:val="00844D31"/>
    <w:rsid w:val="0084620A"/>
    <w:rsid w:val="00846E84"/>
    <w:rsid w:val="008521D7"/>
    <w:rsid w:val="00854D61"/>
    <w:rsid w:val="00856EC1"/>
    <w:rsid w:val="00860DCB"/>
    <w:rsid w:val="0086518E"/>
    <w:rsid w:val="00865BA1"/>
    <w:rsid w:val="00867F48"/>
    <w:rsid w:val="00870CBE"/>
    <w:rsid w:val="00871FE9"/>
    <w:rsid w:val="00875D56"/>
    <w:rsid w:val="0087637F"/>
    <w:rsid w:val="00880EAF"/>
    <w:rsid w:val="00882CCE"/>
    <w:rsid w:val="00886C2D"/>
    <w:rsid w:val="00890C4B"/>
    <w:rsid w:val="008A544F"/>
    <w:rsid w:val="008A559D"/>
    <w:rsid w:val="008B3233"/>
    <w:rsid w:val="008B6967"/>
    <w:rsid w:val="008C3F1E"/>
    <w:rsid w:val="008C7CFF"/>
    <w:rsid w:val="008D1661"/>
    <w:rsid w:val="008D28FC"/>
    <w:rsid w:val="008D443E"/>
    <w:rsid w:val="008E1917"/>
    <w:rsid w:val="008E2EE4"/>
    <w:rsid w:val="008E3FCE"/>
    <w:rsid w:val="008F244D"/>
    <w:rsid w:val="008F4131"/>
    <w:rsid w:val="00903D8C"/>
    <w:rsid w:val="00906BC5"/>
    <w:rsid w:val="00912ACB"/>
    <w:rsid w:val="009161C5"/>
    <w:rsid w:val="00920A2E"/>
    <w:rsid w:val="009212D4"/>
    <w:rsid w:val="00925FB4"/>
    <w:rsid w:val="00931472"/>
    <w:rsid w:val="00932AE2"/>
    <w:rsid w:val="00936DAD"/>
    <w:rsid w:val="00937FBD"/>
    <w:rsid w:val="009421DC"/>
    <w:rsid w:val="009427B2"/>
    <w:rsid w:val="00943899"/>
    <w:rsid w:val="00945E9F"/>
    <w:rsid w:val="00951024"/>
    <w:rsid w:val="00952F73"/>
    <w:rsid w:val="00954F2A"/>
    <w:rsid w:val="0095606F"/>
    <w:rsid w:val="009571D8"/>
    <w:rsid w:val="0096052C"/>
    <w:rsid w:val="00962A7D"/>
    <w:rsid w:val="009637DC"/>
    <w:rsid w:val="00963E9A"/>
    <w:rsid w:val="009651AD"/>
    <w:rsid w:val="009673BF"/>
    <w:rsid w:val="009702C9"/>
    <w:rsid w:val="009722AA"/>
    <w:rsid w:val="009775F5"/>
    <w:rsid w:val="00981F01"/>
    <w:rsid w:val="00981FD9"/>
    <w:rsid w:val="00983A6F"/>
    <w:rsid w:val="0098464C"/>
    <w:rsid w:val="00986599"/>
    <w:rsid w:val="00986F47"/>
    <w:rsid w:val="00990ADB"/>
    <w:rsid w:val="00995E71"/>
    <w:rsid w:val="00997BDE"/>
    <w:rsid w:val="009A00C7"/>
    <w:rsid w:val="009A256A"/>
    <w:rsid w:val="009B6486"/>
    <w:rsid w:val="009B77F1"/>
    <w:rsid w:val="009C1B16"/>
    <w:rsid w:val="009C3FE7"/>
    <w:rsid w:val="009C5EFB"/>
    <w:rsid w:val="009C655C"/>
    <w:rsid w:val="009C7047"/>
    <w:rsid w:val="009C7350"/>
    <w:rsid w:val="009D0A55"/>
    <w:rsid w:val="009D33C3"/>
    <w:rsid w:val="009D755B"/>
    <w:rsid w:val="009E13D7"/>
    <w:rsid w:val="009E14EA"/>
    <w:rsid w:val="009E21EB"/>
    <w:rsid w:val="009E299A"/>
    <w:rsid w:val="009E54F7"/>
    <w:rsid w:val="009F2E3E"/>
    <w:rsid w:val="009F3382"/>
    <w:rsid w:val="009F7C04"/>
    <w:rsid w:val="00A00345"/>
    <w:rsid w:val="00A01200"/>
    <w:rsid w:val="00A04385"/>
    <w:rsid w:val="00A06ADA"/>
    <w:rsid w:val="00A10F4A"/>
    <w:rsid w:val="00A11222"/>
    <w:rsid w:val="00A141F4"/>
    <w:rsid w:val="00A146CE"/>
    <w:rsid w:val="00A20BF1"/>
    <w:rsid w:val="00A21495"/>
    <w:rsid w:val="00A26439"/>
    <w:rsid w:val="00A328D3"/>
    <w:rsid w:val="00A363A8"/>
    <w:rsid w:val="00A36C1F"/>
    <w:rsid w:val="00A41D5B"/>
    <w:rsid w:val="00A4260E"/>
    <w:rsid w:val="00A456C4"/>
    <w:rsid w:val="00A45A6F"/>
    <w:rsid w:val="00A45CE1"/>
    <w:rsid w:val="00A46909"/>
    <w:rsid w:val="00A56694"/>
    <w:rsid w:val="00A64EBC"/>
    <w:rsid w:val="00A66352"/>
    <w:rsid w:val="00A66993"/>
    <w:rsid w:val="00A724DA"/>
    <w:rsid w:val="00A838A3"/>
    <w:rsid w:val="00A90DBC"/>
    <w:rsid w:val="00A9363D"/>
    <w:rsid w:val="00A9397C"/>
    <w:rsid w:val="00A93D5D"/>
    <w:rsid w:val="00A94F71"/>
    <w:rsid w:val="00A9669B"/>
    <w:rsid w:val="00AA0A12"/>
    <w:rsid w:val="00AA1253"/>
    <w:rsid w:val="00AA4462"/>
    <w:rsid w:val="00AA4E19"/>
    <w:rsid w:val="00AA5C6B"/>
    <w:rsid w:val="00AB741A"/>
    <w:rsid w:val="00AB7EAB"/>
    <w:rsid w:val="00AC2A4C"/>
    <w:rsid w:val="00AC68AE"/>
    <w:rsid w:val="00AC7E01"/>
    <w:rsid w:val="00AD1531"/>
    <w:rsid w:val="00AD4A06"/>
    <w:rsid w:val="00AD7228"/>
    <w:rsid w:val="00AE1294"/>
    <w:rsid w:val="00AE440E"/>
    <w:rsid w:val="00AE5F1B"/>
    <w:rsid w:val="00AE6A72"/>
    <w:rsid w:val="00AF02B7"/>
    <w:rsid w:val="00AF02D5"/>
    <w:rsid w:val="00AF456D"/>
    <w:rsid w:val="00AF4964"/>
    <w:rsid w:val="00AF77AE"/>
    <w:rsid w:val="00B04FB0"/>
    <w:rsid w:val="00B06572"/>
    <w:rsid w:val="00B06958"/>
    <w:rsid w:val="00B16CD6"/>
    <w:rsid w:val="00B2229D"/>
    <w:rsid w:val="00B22ABD"/>
    <w:rsid w:val="00B262A2"/>
    <w:rsid w:val="00B32BEC"/>
    <w:rsid w:val="00B37077"/>
    <w:rsid w:val="00B42296"/>
    <w:rsid w:val="00B42478"/>
    <w:rsid w:val="00B45250"/>
    <w:rsid w:val="00B457CD"/>
    <w:rsid w:val="00B5399C"/>
    <w:rsid w:val="00B56593"/>
    <w:rsid w:val="00B56855"/>
    <w:rsid w:val="00B61840"/>
    <w:rsid w:val="00B623F0"/>
    <w:rsid w:val="00B639FF"/>
    <w:rsid w:val="00B63D42"/>
    <w:rsid w:val="00B65422"/>
    <w:rsid w:val="00B82389"/>
    <w:rsid w:val="00B846CC"/>
    <w:rsid w:val="00B87F45"/>
    <w:rsid w:val="00BA17C7"/>
    <w:rsid w:val="00BA1850"/>
    <w:rsid w:val="00BA4971"/>
    <w:rsid w:val="00BA67FE"/>
    <w:rsid w:val="00BA70EC"/>
    <w:rsid w:val="00BA7362"/>
    <w:rsid w:val="00BB0C56"/>
    <w:rsid w:val="00BB40D0"/>
    <w:rsid w:val="00BB5BE3"/>
    <w:rsid w:val="00BB79D2"/>
    <w:rsid w:val="00BB7B3F"/>
    <w:rsid w:val="00BC2491"/>
    <w:rsid w:val="00BC341E"/>
    <w:rsid w:val="00BC57C0"/>
    <w:rsid w:val="00BC6ABC"/>
    <w:rsid w:val="00BC7BE3"/>
    <w:rsid w:val="00BC7DF5"/>
    <w:rsid w:val="00BD309E"/>
    <w:rsid w:val="00BD3F22"/>
    <w:rsid w:val="00BD6BD6"/>
    <w:rsid w:val="00BD7C74"/>
    <w:rsid w:val="00BE3932"/>
    <w:rsid w:val="00BE5A12"/>
    <w:rsid w:val="00BE67C5"/>
    <w:rsid w:val="00BF2B04"/>
    <w:rsid w:val="00C023B9"/>
    <w:rsid w:val="00C0657B"/>
    <w:rsid w:val="00C102EB"/>
    <w:rsid w:val="00C10675"/>
    <w:rsid w:val="00C11067"/>
    <w:rsid w:val="00C1275A"/>
    <w:rsid w:val="00C12EDC"/>
    <w:rsid w:val="00C1418A"/>
    <w:rsid w:val="00C174F0"/>
    <w:rsid w:val="00C234F3"/>
    <w:rsid w:val="00C23C96"/>
    <w:rsid w:val="00C2516C"/>
    <w:rsid w:val="00C42D13"/>
    <w:rsid w:val="00C50944"/>
    <w:rsid w:val="00C52AFC"/>
    <w:rsid w:val="00C53734"/>
    <w:rsid w:val="00C539E9"/>
    <w:rsid w:val="00C5412D"/>
    <w:rsid w:val="00C54DE2"/>
    <w:rsid w:val="00C6235E"/>
    <w:rsid w:val="00C70663"/>
    <w:rsid w:val="00C71245"/>
    <w:rsid w:val="00C74AF6"/>
    <w:rsid w:val="00C76B2B"/>
    <w:rsid w:val="00C776B6"/>
    <w:rsid w:val="00C81C06"/>
    <w:rsid w:val="00C8496A"/>
    <w:rsid w:val="00C853A3"/>
    <w:rsid w:val="00C872AC"/>
    <w:rsid w:val="00C879DD"/>
    <w:rsid w:val="00C90D75"/>
    <w:rsid w:val="00C95789"/>
    <w:rsid w:val="00C9761B"/>
    <w:rsid w:val="00CA5174"/>
    <w:rsid w:val="00CA7842"/>
    <w:rsid w:val="00CB56F1"/>
    <w:rsid w:val="00CC0F8E"/>
    <w:rsid w:val="00CC2BA0"/>
    <w:rsid w:val="00CC409D"/>
    <w:rsid w:val="00CC67AC"/>
    <w:rsid w:val="00CD3DE9"/>
    <w:rsid w:val="00CD6BAD"/>
    <w:rsid w:val="00CF1D47"/>
    <w:rsid w:val="00CF2296"/>
    <w:rsid w:val="00CF5BE8"/>
    <w:rsid w:val="00D0144A"/>
    <w:rsid w:val="00D03751"/>
    <w:rsid w:val="00D05449"/>
    <w:rsid w:val="00D05E76"/>
    <w:rsid w:val="00D07DE7"/>
    <w:rsid w:val="00D10548"/>
    <w:rsid w:val="00D200A7"/>
    <w:rsid w:val="00D21699"/>
    <w:rsid w:val="00D22598"/>
    <w:rsid w:val="00D252F6"/>
    <w:rsid w:val="00D27089"/>
    <w:rsid w:val="00D275D3"/>
    <w:rsid w:val="00D317F1"/>
    <w:rsid w:val="00D32FB7"/>
    <w:rsid w:val="00D3514A"/>
    <w:rsid w:val="00D3555E"/>
    <w:rsid w:val="00D46543"/>
    <w:rsid w:val="00D51952"/>
    <w:rsid w:val="00D5588D"/>
    <w:rsid w:val="00D61734"/>
    <w:rsid w:val="00D61A27"/>
    <w:rsid w:val="00D62BEB"/>
    <w:rsid w:val="00D6511E"/>
    <w:rsid w:val="00D670A4"/>
    <w:rsid w:val="00D7088C"/>
    <w:rsid w:val="00D719B9"/>
    <w:rsid w:val="00D72216"/>
    <w:rsid w:val="00D8105B"/>
    <w:rsid w:val="00D8138F"/>
    <w:rsid w:val="00D839CF"/>
    <w:rsid w:val="00D8577C"/>
    <w:rsid w:val="00D85DBE"/>
    <w:rsid w:val="00D92A89"/>
    <w:rsid w:val="00D92CA3"/>
    <w:rsid w:val="00D97E98"/>
    <w:rsid w:val="00DA4638"/>
    <w:rsid w:val="00DA471C"/>
    <w:rsid w:val="00DA5779"/>
    <w:rsid w:val="00DA69A5"/>
    <w:rsid w:val="00DA7863"/>
    <w:rsid w:val="00DB3474"/>
    <w:rsid w:val="00DC373B"/>
    <w:rsid w:val="00DC67A0"/>
    <w:rsid w:val="00DD3FDE"/>
    <w:rsid w:val="00DD4440"/>
    <w:rsid w:val="00DD46EB"/>
    <w:rsid w:val="00DD64ED"/>
    <w:rsid w:val="00DE264F"/>
    <w:rsid w:val="00DE3677"/>
    <w:rsid w:val="00DE5D96"/>
    <w:rsid w:val="00DE5EB3"/>
    <w:rsid w:val="00DE75C5"/>
    <w:rsid w:val="00DF0E4E"/>
    <w:rsid w:val="00DF2DF9"/>
    <w:rsid w:val="00DF447C"/>
    <w:rsid w:val="00DF4D3B"/>
    <w:rsid w:val="00DF650B"/>
    <w:rsid w:val="00DF74C8"/>
    <w:rsid w:val="00E077B8"/>
    <w:rsid w:val="00E12F2B"/>
    <w:rsid w:val="00E1360A"/>
    <w:rsid w:val="00E153BE"/>
    <w:rsid w:val="00E1791C"/>
    <w:rsid w:val="00E34E36"/>
    <w:rsid w:val="00E375CC"/>
    <w:rsid w:val="00E4477B"/>
    <w:rsid w:val="00E52386"/>
    <w:rsid w:val="00E5275E"/>
    <w:rsid w:val="00E55B93"/>
    <w:rsid w:val="00E56069"/>
    <w:rsid w:val="00E62737"/>
    <w:rsid w:val="00E62B67"/>
    <w:rsid w:val="00E669AC"/>
    <w:rsid w:val="00E7339B"/>
    <w:rsid w:val="00E733E0"/>
    <w:rsid w:val="00E75370"/>
    <w:rsid w:val="00E76A45"/>
    <w:rsid w:val="00E77C1D"/>
    <w:rsid w:val="00E77D59"/>
    <w:rsid w:val="00E80A7F"/>
    <w:rsid w:val="00E85BA8"/>
    <w:rsid w:val="00E871FF"/>
    <w:rsid w:val="00E87BED"/>
    <w:rsid w:val="00E90A87"/>
    <w:rsid w:val="00EA1E55"/>
    <w:rsid w:val="00EA1F4A"/>
    <w:rsid w:val="00EA68AB"/>
    <w:rsid w:val="00EA6C28"/>
    <w:rsid w:val="00EB0CB8"/>
    <w:rsid w:val="00EB6060"/>
    <w:rsid w:val="00EB6E3B"/>
    <w:rsid w:val="00EB7D33"/>
    <w:rsid w:val="00EC3A85"/>
    <w:rsid w:val="00EC790D"/>
    <w:rsid w:val="00ED06B8"/>
    <w:rsid w:val="00ED1994"/>
    <w:rsid w:val="00ED4DD3"/>
    <w:rsid w:val="00EE0369"/>
    <w:rsid w:val="00EF5B12"/>
    <w:rsid w:val="00F02741"/>
    <w:rsid w:val="00F0300D"/>
    <w:rsid w:val="00F03DB4"/>
    <w:rsid w:val="00F0624C"/>
    <w:rsid w:val="00F1019E"/>
    <w:rsid w:val="00F110FE"/>
    <w:rsid w:val="00F13AE1"/>
    <w:rsid w:val="00F15AC7"/>
    <w:rsid w:val="00F23350"/>
    <w:rsid w:val="00F25105"/>
    <w:rsid w:val="00F25AF5"/>
    <w:rsid w:val="00F34C04"/>
    <w:rsid w:val="00F41B66"/>
    <w:rsid w:val="00F44396"/>
    <w:rsid w:val="00F511B6"/>
    <w:rsid w:val="00F5372A"/>
    <w:rsid w:val="00F541BE"/>
    <w:rsid w:val="00F5428B"/>
    <w:rsid w:val="00F64DBD"/>
    <w:rsid w:val="00F703AA"/>
    <w:rsid w:val="00F715E9"/>
    <w:rsid w:val="00F718BA"/>
    <w:rsid w:val="00F7362D"/>
    <w:rsid w:val="00F73A34"/>
    <w:rsid w:val="00F756FA"/>
    <w:rsid w:val="00F77B7F"/>
    <w:rsid w:val="00F86D57"/>
    <w:rsid w:val="00F87C9B"/>
    <w:rsid w:val="00F924AB"/>
    <w:rsid w:val="00F95A28"/>
    <w:rsid w:val="00F95F9D"/>
    <w:rsid w:val="00FA0B42"/>
    <w:rsid w:val="00FA269B"/>
    <w:rsid w:val="00FA33D4"/>
    <w:rsid w:val="00FB1E01"/>
    <w:rsid w:val="00FB1E88"/>
    <w:rsid w:val="00FB56CB"/>
    <w:rsid w:val="00FB5F8A"/>
    <w:rsid w:val="00FB711D"/>
    <w:rsid w:val="00FC0CB2"/>
    <w:rsid w:val="00FD2DAC"/>
    <w:rsid w:val="00FD40FE"/>
    <w:rsid w:val="00FD411C"/>
    <w:rsid w:val="00FD5F47"/>
    <w:rsid w:val="00FD6D62"/>
    <w:rsid w:val="00FE4594"/>
    <w:rsid w:val="00FF2ED8"/>
    <w:rsid w:val="00FF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75879"/>
  <w15:docId w15:val="{481A3BC5-F0E9-4B35-9D49-1B1EDD61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D7"/>
    <w:rPr>
      <w:sz w:val="24"/>
      <w:szCs w:val="24"/>
      <w:lang w:eastAsia="en-US"/>
    </w:rPr>
  </w:style>
  <w:style w:type="paragraph" w:styleId="Titre1">
    <w:name w:val="heading 1"/>
    <w:basedOn w:val="Normal"/>
    <w:next w:val="Normal"/>
    <w:link w:val="Titre1Car"/>
    <w:uiPriority w:val="9"/>
    <w:qFormat/>
    <w:rsid w:val="00566FAE"/>
    <w:pPr>
      <w:keepNext/>
      <w:keepLines/>
      <w:spacing w:before="240"/>
      <w:outlineLvl w:val="0"/>
    </w:pPr>
    <w:rPr>
      <w:rFonts w:ascii="Calibri Light" w:eastAsia="MS Gothic" w:hAnsi="Calibri Light"/>
      <w:color w:val="2F5496"/>
      <w:sz w:val="32"/>
      <w:szCs w:val="32"/>
    </w:rPr>
  </w:style>
  <w:style w:type="paragraph" w:styleId="Titre2">
    <w:name w:val="heading 2"/>
    <w:basedOn w:val="Normal"/>
    <w:next w:val="Normal"/>
    <w:link w:val="Titre2Car"/>
    <w:uiPriority w:val="9"/>
    <w:semiHidden/>
    <w:unhideWhenUsed/>
    <w:qFormat/>
    <w:rsid w:val="00AB741A"/>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imes New Roman" w:hAnsi="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styleId="Lienhypertexte">
    <w:name w:val="Hyperlink"/>
    <w:rPr>
      <w:color w:val="0000FF"/>
      <w:u w:val="single"/>
    </w:rPr>
  </w:style>
  <w:style w:type="paragraph" w:styleId="Rvision">
    <w:name w:val="Revision"/>
    <w:hidden/>
    <w:uiPriority w:val="99"/>
    <w:semiHidden/>
    <w:rPr>
      <w:sz w:val="24"/>
      <w:szCs w:val="24"/>
      <w:lang w:eastAsia="en-US"/>
    </w:rPr>
  </w:style>
  <w:style w:type="character" w:styleId="Marquedecommentaire">
    <w:name w:val="annotation reference"/>
    <w:uiPriority w:val="99"/>
    <w:semiHidden/>
    <w:unhideWhenUsed/>
    <w:rPr>
      <w:sz w:val="18"/>
      <w:szCs w:val="18"/>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link w:val="Objetducommentaire"/>
    <w:uiPriority w:val="99"/>
    <w:semiHidden/>
    <w:rPr>
      <w:b/>
      <w:bCs/>
      <w:sz w:val="20"/>
      <w:szCs w:val="20"/>
    </w:rPr>
  </w:style>
  <w:style w:type="character" w:styleId="Accentuation">
    <w:name w:val="Emphasis"/>
    <w:uiPriority w:val="20"/>
    <w:qFormat/>
    <w:rPr>
      <w:i/>
      <w:iCs/>
    </w:rPr>
  </w:style>
  <w:style w:type="character" w:customStyle="1" w:styleId="Mentionnonrsolue1">
    <w:name w:val="Mention non résolue1"/>
    <w:uiPriority w:val="99"/>
    <w:semiHidden/>
    <w:unhideWhenUsed/>
    <w:rPr>
      <w:color w:val="808080"/>
      <w:shd w:val="clear" w:color="auto" w:fill="E6E6E6"/>
    </w:rPr>
  </w:style>
  <w:style w:type="character" w:styleId="Lienhypertextesuivivisit">
    <w:name w:val="FollowedHyperlink"/>
    <w:uiPriority w:val="99"/>
    <w:semiHidden/>
    <w:unhideWhenUsed/>
    <w:rPr>
      <w:color w:val="954F72"/>
      <w:u w:val="single"/>
    </w:rPr>
  </w:style>
  <w:style w:type="paragraph" w:styleId="Paragraphedeliste">
    <w:name w:val="List Paragraph"/>
    <w:basedOn w:val="Normal"/>
    <w:uiPriority w:val="34"/>
    <w:qFormat/>
    <w:pPr>
      <w:ind w:left="720"/>
      <w:contextualSpacing/>
    </w:pPr>
  </w:style>
  <w:style w:type="character" w:customStyle="1" w:styleId="Titre1Car">
    <w:name w:val="Titre 1 Car"/>
    <w:link w:val="Titre1"/>
    <w:uiPriority w:val="9"/>
    <w:rsid w:val="00566FAE"/>
    <w:rPr>
      <w:rFonts w:ascii="Calibri Light" w:eastAsia="MS Gothic" w:hAnsi="Calibri Light" w:cs="Times New Roman"/>
      <w:color w:val="2F5496"/>
      <w:sz w:val="32"/>
      <w:szCs w:val="32"/>
    </w:rPr>
  </w:style>
  <w:style w:type="character" w:customStyle="1" w:styleId="Mentionnonrsolue2">
    <w:name w:val="Mention non résolue2"/>
    <w:uiPriority w:val="99"/>
    <w:semiHidden/>
    <w:unhideWhenUsed/>
    <w:rsid w:val="008521D7"/>
    <w:rPr>
      <w:color w:val="808080"/>
      <w:shd w:val="clear" w:color="auto" w:fill="E6E6E6"/>
    </w:rPr>
  </w:style>
  <w:style w:type="paragraph" w:customStyle="1" w:styleId="Default">
    <w:name w:val="Default"/>
    <w:rsid w:val="006A606C"/>
    <w:pPr>
      <w:autoSpaceDE w:val="0"/>
      <w:autoSpaceDN w:val="0"/>
      <w:adjustRightInd w:val="0"/>
    </w:pPr>
    <w:rPr>
      <w:rFonts w:ascii="Cambria" w:hAnsi="Cambria" w:cs="Cambria"/>
      <w:color w:val="000000"/>
      <w:sz w:val="24"/>
      <w:szCs w:val="24"/>
      <w:lang w:eastAsia="en-US"/>
    </w:rPr>
  </w:style>
  <w:style w:type="character" w:customStyle="1" w:styleId="Titre2Car">
    <w:name w:val="Titre 2 Car"/>
    <w:link w:val="Titre2"/>
    <w:uiPriority w:val="9"/>
    <w:semiHidden/>
    <w:rsid w:val="00AB741A"/>
    <w:rPr>
      <w:rFonts w:ascii="Calibri Light" w:eastAsia="Times New Roman" w:hAnsi="Calibri Light" w:cs="Times New Roman"/>
      <w:b/>
      <w:bCs/>
      <w:i/>
      <w:iCs/>
      <w:sz w:val="28"/>
      <w:szCs w:val="28"/>
      <w:lang w:eastAsia="en-US"/>
    </w:rPr>
  </w:style>
  <w:style w:type="character" w:styleId="lev">
    <w:name w:val="Strong"/>
    <w:uiPriority w:val="22"/>
    <w:qFormat/>
    <w:rsid w:val="0084620A"/>
    <w:rPr>
      <w:b/>
      <w:bCs/>
    </w:rPr>
  </w:style>
  <w:style w:type="paragraph" w:styleId="NormalWeb">
    <w:name w:val="Normal (Web)"/>
    <w:basedOn w:val="Normal"/>
    <w:uiPriority w:val="99"/>
    <w:unhideWhenUsed/>
    <w:rsid w:val="00FB1E88"/>
    <w:pPr>
      <w:spacing w:before="100" w:beforeAutospacing="1" w:after="100" w:afterAutospacing="1"/>
    </w:pPr>
    <w:rPr>
      <w:rFonts w:ascii="Times New Roman" w:eastAsia="Times New Roman" w:hAnsi="Times New Roman"/>
    </w:rPr>
  </w:style>
  <w:style w:type="table" w:styleId="Grilledutableau">
    <w:name w:val="Table Grid"/>
    <w:basedOn w:val="TableauNormal"/>
    <w:uiPriority w:val="39"/>
    <w:rsid w:val="00FD5F4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41">
      <w:bodyDiv w:val="1"/>
      <w:marLeft w:val="0"/>
      <w:marRight w:val="0"/>
      <w:marTop w:val="0"/>
      <w:marBottom w:val="0"/>
      <w:divBdr>
        <w:top w:val="none" w:sz="0" w:space="0" w:color="auto"/>
        <w:left w:val="none" w:sz="0" w:space="0" w:color="auto"/>
        <w:bottom w:val="none" w:sz="0" w:space="0" w:color="auto"/>
        <w:right w:val="none" w:sz="0" w:space="0" w:color="auto"/>
      </w:divBdr>
    </w:div>
    <w:div w:id="23219311">
      <w:bodyDiv w:val="1"/>
      <w:marLeft w:val="0"/>
      <w:marRight w:val="0"/>
      <w:marTop w:val="0"/>
      <w:marBottom w:val="0"/>
      <w:divBdr>
        <w:top w:val="none" w:sz="0" w:space="0" w:color="auto"/>
        <w:left w:val="none" w:sz="0" w:space="0" w:color="auto"/>
        <w:bottom w:val="none" w:sz="0" w:space="0" w:color="auto"/>
        <w:right w:val="none" w:sz="0" w:space="0" w:color="auto"/>
      </w:divBdr>
    </w:div>
    <w:div w:id="200749908">
      <w:bodyDiv w:val="1"/>
      <w:marLeft w:val="0"/>
      <w:marRight w:val="0"/>
      <w:marTop w:val="0"/>
      <w:marBottom w:val="0"/>
      <w:divBdr>
        <w:top w:val="none" w:sz="0" w:space="0" w:color="auto"/>
        <w:left w:val="none" w:sz="0" w:space="0" w:color="auto"/>
        <w:bottom w:val="none" w:sz="0" w:space="0" w:color="auto"/>
        <w:right w:val="none" w:sz="0" w:space="0" w:color="auto"/>
      </w:divBdr>
    </w:div>
    <w:div w:id="306399603">
      <w:bodyDiv w:val="1"/>
      <w:marLeft w:val="0"/>
      <w:marRight w:val="0"/>
      <w:marTop w:val="0"/>
      <w:marBottom w:val="0"/>
      <w:divBdr>
        <w:top w:val="none" w:sz="0" w:space="0" w:color="auto"/>
        <w:left w:val="none" w:sz="0" w:space="0" w:color="auto"/>
        <w:bottom w:val="none" w:sz="0" w:space="0" w:color="auto"/>
        <w:right w:val="none" w:sz="0" w:space="0" w:color="auto"/>
      </w:divBdr>
    </w:div>
    <w:div w:id="314647250">
      <w:bodyDiv w:val="1"/>
      <w:marLeft w:val="0"/>
      <w:marRight w:val="0"/>
      <w:marTop w:val="0"/>
      <w:marBottom w:val="0"/>
      <w:divBdr>
        <w:top w:val="none" w:sz="0" w:space="0" w:color="auto"/>
        <w:left w:val="none" w:sz="0" w:space="0" w:color="auto"/>
        <w:bottom w:val="none" w:sz="0" w:space="0" w:color="auto"/>
        <w:right w:val="none" w:sz="0" w:space="0" w:color="auto"/>
      </w:divBdr>
    </w:div>
    <w:div w:id="381170800">
      <w:bodyDiv w:val="1"/>
      <w:marLeft w:val="0"/>
      <w:marRight w:val="0"/>
      <w:marTop w:val="0"/>
      <w:marBottom w:val="0"/>
      <w:divBdr>
        <w:top w:val="none" w:sz="0" w:space="0" w:color="auto"/>
        <w:left w:val="none" w:sz="0" w:space="0" w:color="auto"/>
        <w:bottom w:val="none" w:sz="0" w:space="0" w:color="auto"/>
        <w:right w:val="none" w:sz="0" w:space="0" w:color="auto"/>
      </w:divBdr>
    </w:div>
    <w:div w:id="511995814">
      <w:bodyDiv w:val="1"/>
      <w:marLeft w:val="0"/>
      <w:marRight w:val="0"/>
      <w:marTop w:val="0"/>
      <w:marBottom w:val="0"/>
      <w:divBdr>
        <w:top w:val="none" w:sz="0" w:space="0" w:color="auto"/>
        <w:left w:val="none" w:sz="0" w:space="0" w:color="auto"/>
        <w:bottom w:val="none" w:sz="0" w:space="0" w:color="auto"/>
        <w:right w:val="none" w:sz="0" w:space="0" w:color="auto"/>
      </w:divBdr>
    </w:div>
    <w:div w:id="568809296">
      <w:bodyDiv w:val="1"/>
      <w:marLeft w:val="0"/>
      <w:marRight w:val="0"/>
      <w:marTop w:val="0"/>
      <w:marBottom w:val="0"/>
      <w:divBdr>
        <w:top w:val="none" w:sz="0" w:space="0" w:color="auto"/>
        <w:left w:val="none" w:sz="0" w:space="0" w:color="auto"/>
        <w:bottom w:val="none" w:sz="0" w:space="0" w:color="auto"/>
        <w:right w:val="none" w:sz="0" w:space="0" w:color="auto"/>
      </w:divBdr>
    </w:div>
    <w:div w:id="578368578">
      <w:bodyDiv w:val="1"/>
      <w:marLeft w:val="0"/>
      <w:marRight w:val="0"/>
      <w:marTop w:val="0"/>
      <w:marBottom w:val="0"/>
      <w:divBdr>
        <w:top w:val="none" w:sz="0" w:space="0" w:color="auto"/>
        <w:left w:val="none" w:sz="0" w:space="0" w:color="auto"/>
        <w:bottom w:val="none" w:sz="0" w:space="0" w:color="auto"/>
        <w:right w:val="none" w:sz="0" w:space="0" w:color="auto"/>
      </w:divBdr>
    </w:div>
    <w:div w:id="580142735">
      <w:bodyDiv w:val="1"/>
      <w:marLeft w:val="0"/>
      <w:marRight w:val="0"/>
      <w:marTop w:val="0"/>
      <w:marBottom w:val="0"/>
      <w:divBdr>
        <w:top w:val="none" w:sz="0" w:space="0" w:color="auto"/>
        <w:left w:val="none" w:sz="0" w:space="0" w:color="auto"/>
        <w:bottom w:val="none" w:sz="0" w:space="0" w:color="auto"/>
        <w:right w:val="none" w:sz="0" w:space="0" w:color="auto"/>
      </w:divBdr>
    </w:div>
    <w:div w:id="595098283">
      <w:bodyDiv w:val="1"/>
      <w:marLeft w:val="0"/>
      <w:marRight w:val="0"/>
      <w:marTop w:val="0"/>
      <w:marBottom w:val="0"/>
      <w:divBdr>
        <w:top w:val="none" w:sz="0" w:space="0" w:color="auto"/>
        <w:left w:val="none" w:sz="0" w:space="0" w:color="auto"/>
        <w:bottom w:val="none" w:sz="0" w:space="0" w:color="auto"/>
        <w:right w:val="none" w:sz="0" w:space="0" w:color="auto"/>
      </w:divBdr>
    </w:div>
    <w:div w:id="606546299">
      <w:bodyDiv w:val="1"/>
      <w:marLeft w:val="0"/>
      <w:marRight w:val="0"/>
      <w:marTop w:val="0"/>
      <w:marBottom w:val="0"/>
      <w:divBdr>
        <w:top w:val="none" w:sz="0" w:space="0" w:color="auto"/>
        <w:left w:val="none" w:sz="0" w:space="0" w:color="auto"/>
        <w:bottom w:val="none" w:sz="0" w:space="0" w:color="auto"/>
        <w:right w:val="none" w:sz="0" w:space="0" w:color="auto"/>
      </w:divBdr>
      <w:divsChild>
        <w:div w:id="354842808">
          <w:marLeft w:val="446"/>
          <w:marRight w:val="0"/>
          <w:marTop w:val="0"/>
          <w:marBottom w:val="0"/>
          <w:divBdr>
            <w:top w:val="none" w:sz="0" w:space="0" w:color="auto"/>
            <w:left w:val="none" w:sz="0" w:space="0" w:color="auto"/>
            <w:bottom w:val="none" w:sz="0" w:space="0" w:color="auto"/>
            <w:right w:val="none" w:sz="0" w:space="0" w:color="auto"/>
          </w:divBdr>
        </w:div>
        <w:div w:id="1575432495">
          <w:marLeft w:val="446"/>
          <w:marRight w:val="0"/>
          <w:marTop w:val="0"/>
          <w:marBottom w:val="0"/>
          <w:divBdr>
            <w:top w:val="none" w:sz="0" w:space="0" w:color="auto"/>
            <w:left w:val="none" w:sz="0" w:space="0" w:color="auto"/>
            <w:bottom w:val="none" w:sz="0" w:space="0" w:color="auto"/>
            <w:right w:val="none" w:sz="0" w:space="0" w:color="auto"/>
          </w:divBdr>
        </w:div>
        <w:div w:id="626280949">
          <w:marLeft w:val="446"/>
          <w:marRight w:val="0"/>
          <w:marTop w:val="0"/>
          <w:marBottom w:val="0"/>
          <w:divBdr>
            <w:top w:val="none" w:sz="0" w:space="0" w:color="auto"/>
            <w:left w:val="none" w:sz="0" w:space="0" w:color="auto"/>
            <w:bottom w:val="none" w:sz="0" w:space="0" w:color="auto"/>
            <w:right w:val="none" w:sz="0" w:space="0" w:color="auto"/>
          </w:divBdr>
        </w:div>
        <w:div w:id="1523203557">
          <w:marLeft w:val="446"/>
          <w:marRight w:val="0"/>
          <w:marTop w:val="0"/>
          <w:marBottom w:val="0"/>
          <w:divBdr>
            <w:top w:val="none" w:sz="0" w:space="0" w:color="auto"/>
            <w:left w:val="none" w:sz="0" w:space="0" w:color="auto"/>
            <w:bottom w:val="none" w:sz="0" w:space="0" w:color="auto"/>
            <w:right w:val="none" w:sz="0" w:space="0" w:color="auto"/>
          </w:divBdr>
        </w:div>
      </w:divsChild>
    </w:div>
    <w:div w:id="783041226">
      <w:bodyDiv w:val="1"/>
      <w:marLeft w:val="0"/>
      <w:marRight w:val="0"/>
      <w:marTop w:val="0"/>
      <w:marBottom w:val="0"/>
      <w:divBdr>
        <w:top w:val="none" w:sz="0" w:space="0" w:color="auto"/>
        <w:left w:val="none" w:sz="0" w:space="0" w:color="auto"/>
        <w:bottom w:val="none" w:sz="0" w:space="0" w:color="auto"/>
        <w:right w:val="none" w:sz="0" w:space="0" w:color="auto"/>
      </w:divBdr>
    </w:div>
    <w:div w:id="797142230">
      <w:bodyDiv w:val="1"/>
      <w:marLeft w:val="0"/>
      <w:marRight w:val="0"/>
      <w:marTop w:val="0"/>
      <w:marBottom w:val="0"/>
      <w:divBdr>
        <w:top w:val="none" w:sz="0" w:space="0" w:color="auto"/>
        <w:left w:val="none" w:sz="0" w:space="0" w:color="auto"/>
        <w:bottom w:val="none" w:sz="0" w:space="0" w:color="auto"/>
        <w:right w:val="none" w:sz="0" w:space="0" w:color="auto"/>
      </w:divBdr>
    </w:div>
    <w:div w:id="889416693">
      <w:bodyDiv w:val="1"/>
      <w:marLeft w:val="0"/>
      <w:marRight w:val="0"/>
      <w:marTop w:val="0"/>
      <w:marBottom w:val="0"/>
      <w:divBdr>
        <w:top w:val="none" w:sz="0" w:space="0" w:color="auto"/>
        <w:left w:val="none" w:sz="0" w:space="0" w:color="auto"/>
        <w:bottom w:val="none" w:sz="0" w:space="0" w:color="auto"/>
        <w:right w:val="none" w:sz="0" w:space="0" w:color="auto"/>
      </w:divBdr>
    </w:div>
    <w:div w:id="894393392">
      <w:bodyDiv w:val="1"/>
      <w:marLeft w:val="0"/>
      <w:marRight w:val="0"/>
      <w:marTop w:val="0"/>
      <w:marBottom w:val="0"/>
      <w:divBdr>
        <w:top w:val="none" w:sz="0" w:space="0" w:color="auto"/>
        <w:left w:val="none" w:sz="0" w:space="0" w:color="auto"/>
        <w:bottom w:val="none" w:sz="0" w:space="0" w:color="auto"/>
        <w:right w:val="none" w:sz="0" w:space="0" w:color="auto"/>
      </w:divBdr>
    </w:div>
    <w:div w:id="899025281">
      <w:bodyDiv w:val="1"/>
      <w:marLeft w:val="0"/>
      <w:marRight w:val="0"/>
      <w:marTop w:val="0"/>
      <w:marBottom w:val="0"/>
      <w:divBdr>
        <w:top w:val="none" w:sz="0" w:space="0" w:color="auto"/>
        <w:left w:val="none" w:sz="0" w:space="0" w:color="auto"/>
        <w:bottom w:val="none" w:sz="0" w:space="0" w:color="auto"/>
        <w:right w:val="none" w:sz="0" w:space="0" w:color="auto"/>
      </w:divBdr>
    </w:div>
    <w:div w:id="1018119949">
      <w:bodyDiv w:val="1"/>
      <w:marLeft w:val="0"/>
      <w:marRight w:val="0"/>
      <w:marTop w:val="0"/>
      <w:marBottom w:val="0"/>
      <w:divBdr>
        <w:top w:val="none" w:sz="0" w:space="0" w:color="auto"/>
        <w:left w:val="none" w:sz="0" w:space="0" w:color="auto"/>
        <w:bottom w:val="none" w:sz="0" w:space="0" w:color="auto"/>
        <w:right w:val="none" w:sz="0" w:space="0" w:color="auto"/>
      </w:divBdr>
    </w:div>
    <w:div w:id="1073239309">
      <w:bodyDiv w:val="1"/>
      <w:marLeft w:val="0"/>
      <w:marRight w:val="0"/>
      <w:marTop w:val="0"/>
      <w:marBottom w:val="0"/>
      <w:divBdr>
        <w:top w:val="none" w:sz="0" w:space="0" w:color="auto"/>
        <w:left w:val="none" w:sz="0" w:space="0" w:color="auto"/>
        <w:bottom w:val="none" w:sz="0" w:space="0" w:color="auto"/>
        <w:right w:val="none" w:sz="0" w:space="0" w:color="auto"/>
      </w:divBdr>
    </w:div>
    <w:div w:id="1097017233">
      <w:bodyDiv w:val="1"/>
      <w:marLeft w:val="0"/>
      <w:marRight w:val="0"/>
      <w:marTop w:val="0"/>
      <w:marBottom w:val="0"/>
      <w:divBdr>
        <w:top w:val="none" w:sz="0" w:space="0" w:color="auto"/>
        <w:left w:val="none" w:sz="0" w:space="0" w:color="auto"/>
        <w:bottom w:val="none" w:sz="0" w:space="0" w:color="auto"/>
        <w:right w:val="none" w:sz="0" w:space="0" w:color="auto"/>
      </w:divBdr>
    </w:div>
    <w:div w:id="1138957087">
      <w:bodyDiv w:val="1"/>
      <w:marLeft w:val="0"/>
      <w:marRight w:val="0"/>
      <w:marTop w:val="0"/>
      <w:marBottom w:val="0"/>
      <w:divBdr>
        <w:top w:val="none" w:sz="0" w:space="0" w:color="auto"/>
        <w:left w:val="none" w:sz="0" w:space="0" w:color="auto"/>
        <w:bottom w:val="none" w:sz="0" w:space="0" w:color="auto"/>
        <w:right w:val="none" w:sz="0" w:space="0" w:color="auto"/>
      </w:divBdr>
    </w:div>
    <w:div w:id="1230338747">
      <w:bodyDiv w:val="1"/>
      <w:marLeft w:val="0"/>
      <w:marRight w:val="0"/>
      <w:marTop w:val="0"/>
      <w:marBottom w:val="0"/>
      <w:divBdr>
        <w:top w:val="none" w:sz="0" w:space="0" w:color="auto"/>
        <w:left w:val="none" w:sz="0" w:space="0" w:color="auto"/>
        <w:bottom w:val="none" w:sz="0" w:space="0" w:color="auto"/>
        <w:right w:val="none" w:sz="0" w:space="0" w:color="auto"/>
      </w:divBdr>
    </w:div>
    <w:div w:id="1390030997">
      <w:bodyDiv w:val="1"/>
      <w:marLeft w:val="0"/>
      <w:marRight w:val="0"/>
      <w:marTop w:val="0"/>
      <w:marBottom w:val="0"/>
      <w:divBdr>
        <w:top w:val="none" w:sz="0" w:space="0" w:color="auto"/>
        <w:left w:val="none" w:sz="0" w:space="0" w:color="auto"/>
        <w:bottom w:val="none" w:sz="0" w:space="0" w:color="auto"/>
        <w:right w:val="none" w:sz="0" w:space="0" w:color="auto"/>
      </w:divBdr>
    </w:div>
    <w:div w:id="1445349597">
      <w:bodyDiv w:val="1"/>
      <w:marLeft w:val="0"/>
      <w:marRight w:val="0"/>
      <w:marTop w:val="0"/>
      <w:marBottom w:val="0"/>
      <w:divBdr>
        <w:top w:val="none" w:sz="0" w:space="0" w:color="auto"/>
        <w:left w:val="none" w:sz="0" w:space="0" w:color="auto"/>
        <w:bottom w:val="none" w:sz="0" w:space="0" w:color="auto"/>
        <w:right w:val="none" w:sz="0" w:space="0" w:color="auto"/>
      </w:divBdr>
    </w:div>
    <w:div w:id="1497068871">
      <w:bodyDiv w:val="1"/>
      <w:marLeft w:val="0"/>
      <w:marRight w:val="0"/>
      <w:marTop w:val="0"/>
      <w:marBottom w:val="0"/>
      <w:divBdr>
        <w:top w:val="none" w:sz="0" w:space="0" w:color="auto"/>
        <w:left w:val="none" w:sz="0" w:space="0" w:color="auto"/>
        <w:bottom w:val="none" w:sz="0" w:space="0" w:color="auto"/>
        <w:right w:val="none" w:sz="0" w:space="0" w:color="auto"/>
      </w:divBdr>
    </w:div>
    <w:div w:id="1602688821">
      <w:bodyDiv w:val="1"/>
      <w:marLeft w:val="0"/>
      <w:marRight w:val="0"/>
      <w:marTop w:val="0"/>
      <w:marBottom w:val="0"/>
      <w:divBdr>
        <w:top w:val="none" w:sz="0" w:space="0" w:color="auto"/>
        <w:left w:val="none" w:sz="0" w:space="0" w:color="auto"/>
        <w:bottom w:val="none" w:sz="0" w:space="0" w:color="auto"/>
        <w:right w:val="none" w:sz="0" w:space="0" w:color="auto"/>
      </w:divBdr>
    </w:div>
    <w:div w:id="1610089089">
      <w:bodyDiv w:val="1"/>
      <w:marLeft w:val="0"/>
      <w:marRight w:val="0"/>
      <w:marTop w:val="0"/>
      <w:marBottom w:val="0"/>
      <w:divBdr>
        <w:top w:val="none" w:sz="0" w:space="0" w:color="auto"/>
        <w:left w:val="none" w:sz="0" w:space="0" w:color="auto"/>
        <w:bottom w:val="none" w:sz="0" w:space="0" w:color="auto"/>
        <w:right w:val="none" w:sz="0" w:space="0" w:color="auto"/>
      </w:divBdr>
    </w:div>
    <w:div w:id="1797798681">
      <w:bodyDiv w:val="1"/>
      <w:marLeft w:val="0"/>
      <w:marRight w:val="0"/>
      <w:marTop w:val="0"/>
      <w:marBottom w:val="0"/>
      <w:divBdr>
        <w:top w:val="none" w:sz="0" w:space="0" w:color="auto"/>
        <w:left w:val="none" w:sz="0" w:space="0" w:color="auto"/>
        <w:bottom w:val="none" w:sz="0" w:space="0" w:color="auto"/>
        <w:right w:val="none" w:sz="0" w:space="0" w:color="auto"/>
      </w:divBdr>
    </w:div>
    <w:div w:id="1846704644">
      <w:bodyDiv w:val="1"/>
      <w:marLeft w:val="0"/>
      <w:marRight w:val="0"/>
      <w:marTop w:val="0"/>
      <w:marBottom w:val="0"/>
      <w:divBdr>
        <w:top w:val="none" w:sz="0" w:space="0" w:color="auto"/>
        <w:left w:val="none" w:sz="0" w:space="0" w:color="auto"/>
        <w:bottom w:val="none" w:sz="0" w:space="0" w:color="auto"/>
        <w:right w:val="none" w:sz="0" w:space="0" w:color="auto"/>
      </w:divBdr>
    </w:div>
    <w:div w:id="1878734608">
      <w:bodyDiv w:val="1"/>
      <w:marLeft w:val="0"/>
      <w:marRight w:val="0"/>
      <w:marTop w:val="0"/>
      <w:marBottom w:val="0"/>
      <w:divBdr>
        <w:top w:val="none" w:sz="0" w:space="0" w:color="auto"/>
        <w:left w:val="none" w:sz="0" w:space="0" w:color="auto"/>
        <w:bottom w:val="none" w:sz="0" w:space="0" w:color="auto"/>
        <w:right w:val="none" w:sz="0" w:space="0" w:color="auto"/>
      </w:divBdr>
    </w:div>
    <w:div w:id="2002656634">
      <w:bodyDiv w:val="1"/>
      <w:marLeft w:val="0"/>
      <w:marRight w:val="0"/>
      <w:marTop w:val="0"/>
      <w:marBottom w:val="0"/>
      <w:divBdr>
        <w:top w:val="none" w:sz="0" w:space="0" w:color="auto"/>
        <w:left w:val="none" w:sz="0" w:space="0" w:color="auto"/>
        <w:bottom w:val="none" w:sz="0" w:space="0" w:color="auto"/>
        <w:right w:val="none" w:sz="0" w:space="0" w:color="auto"/>
      </w:divBdr>
    </w:div>
    <w:div w:id="201360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8F7A22E8E9949A74E414738B7B690" ma:contentTypeVersion="10" ma:contentTypeDescription="Create a new document." ma:contentTypeScope="" ma:versionID="4137a60c0ee540363f0daa8e0ae89c2b">
  <xsd:schema xmlns:xsd="http://www.w3.org/2001/XMLSchema" xmlns:xs="http://www.w3.org/2001/XMLSchema" xmlns:p="http://schemas.microsoft.com/office/2006/metadata/properties" xmlns:ns2="4f0475ca-b661-48ec-9d1e-10bbb3404c35" xmlns:ns3="28c3160f-3dba-4979-86ae-7248900433fd" targetNamespace="http://schemas.microsoft.com/office/2006/metadata/properties" ma:root="true" ma:fieldsID="f5c1732636bc4b69155ab3849c91debc" ns2:_="" ns3:_="">
    <xsd:import namespace="4f0475ca-b661-48ec-9d1e-10bbb3404c35"/>
    <xsd:import namespace="28c3160f-3dba-4979-86ae-724890043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75ca-b661-48ec-9d1e-10bbb340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3160f-3dba-4979-86ae-724890043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8c3160f-3dba-4979-86ae-7248900433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978F7A22E8E9949A74E414738B7B690" ma:contentTypeVersion="10" ma:contentTypeDescription="Create a new document." ma:contentTypeScope="" ma:versionID="4137a60c0ee540363f0daa8e0ae89c2b">
  <xsd:schema xmlns:xsd="http://www.w3.org/2001/XMLSchema" xmlns:xs="http://www.w3.org/2001/XMLSchema" xmlns:p="http://schemas.microsoft.com/office/2006/metadata/properties" xmlns:ns2="4f0475ca-b661-48ec-9d1e-10bbb3404c35" xmlns:ns3="28c3160f-3dba-4979-86ae-7248900433fd" targetNamespace="http://schemas.microsoft.com/office/2006/metadata/properties" ma:root="true" ma:fieldsID="f5c1732636bc4b69155ab3849c91debc" ns2:_="" ns3:_="">
    <xsd:import namespace="4f0475ca-b661-48ec-9d1e-10bbb3404c35"/>
    <xsd:import namespace="28c3160f-3dba-4979-86ae-724890043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75ca-b661-48ec-9d1e-10bbb3404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c3160f-3dba-4979-86ae-724890043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EDBAE-8966-4866-B6B2-2EFACD9B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75ca-b661-48ec-9d1e-10bbb3404c35"/>
    <ds:schemaRef ds:uri="28c3160f-3dba-4979-86ae-72489004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1E819-8D22-4439-8D07-99415D884D39}">
  <ds:schemaRefs>
    <ds:schemaRef ds:uri="http://schemas.microsoft.com/office/2006/metadata/properties"/>
    <ds:schemaRef ds:uri="http://schemas.microsoft.com/office/infopath/2007/PartnerControls"/>
    <ds:schemaRef ds:uri="28c3160f-3dba-4979-86ae-7248900433fd"/>
  </ds:schemaRefs>
</ds:datastoreItem>
</file>

<file path=customXml/itemProps3.xml><?xml version="1.0" encoding="utf-8"?>
<ds:datastoreItem xmlns:ds="http://schemas.openxmlformats.org/officeDocument/2006/customXml" ds:itemID="{BA8D3031-E61B-4026-9A97-8E3FBF9A8AE2}">
  <ds:schemaRefs>
    <ds:schemaRef ds:uri="http://schemas.microsoft.com/sharepoint/v3/contenttype/forms"/>
  </ds:schemaRefs>
</ds:datastoreItem>
</file>

<file path=customXml/itemProps4.xml><?xml version="1.0" encoding="utf-8"?>
<ds:datastoreItem xmlns:ds="http://schemas.openxmlformats.org/officeDocument/2006/customXml" ds:itemID="{2A082882-94AC-4478-A6A6-708CC6BBC559}">
  <ds:schemaRefs>
    <ds:schemaRef ds:uri="http://schemas.openxmlformats.org/officeDocument/2006/bibliography"/>
  </ds:schemaRefs>
</ds:datastoreItem>
</file>

<file path=customXml/itemProps5.xml><?xml version="1.0" encoding="utf-8"?>
<ds:datastoreItem xmlns:ds="http://schemas.openxmlformats.org/officeDocument/2006/customXml" ds:itemID="{070CA23E-4A3E-4611-8D96-49935463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75ca-b661-48ec-9d1e-10bbb3404c35"/>
    <ds:schemaRef ds:uri="28c3160f-3dba-4979-86ae-72489004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4397</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Maitland Consultancy</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Emmanuel Vouin</cp:lastModifiedBy>
  <cp:revision>3</cp:revision>
  <cp:lastPrinted>2022-02-24T10:01:00Z</cp:lastPrinted>
  <dcterms:created xsi:type="dcterms:W3CDTF">2022-10-26T05:45:00Z</dcterms:created>
  <dcterms:modified xsi:type="dcterms:W3CDTF">2022-10-26T05:45:00Z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0x0101008978F7A22E8E9949A74E414738B7B690</vt:lpwstr>
  </property>
  <property fmtid="{D5CDD505-2E9C-101B-9397-08002B2CF9AE}" pid="4" name="WS_TRACKING_ID">
    <vt:lpwstr>14133e61-2e3c-46cc-862c-db5814a0383c</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