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64A7" w14:textId="1FD55F04" w:rsidR="008521D7" w:rsidRPr="00AD1531" w:rsidRDefault="00CD3DE9" w:rsidP="00162D83">
      <w:pPr>
        <w:widowControl w:val="0"/>
        <w:autoSpaceDE w:val="0"/>
        <w:autoSpaceDN w:val="0"/>
        <w:adjustRightInd w:val="0"/>
        <w:spacing w:after="240" w:line="280" w:lineRule="atLeast"/>
        <w:rPr>
          <w:color w:val="000000"/>
          <w:sz w:val="20"/>
          <w:szCs w:val="20"/>
        </w:rPr>
      </w:pPr>
      <w:r w:rsidRPr="00AD1531">
        <w:rPr>
          <w:noProof/>
        </w:rPr>
        <w:drawing>
          <wp:anchor distT="0" distB="0" distL="114300" distR="114300" simplePos="0" relativeHeight="251657728" behindDoc="0" locked="0" layoutInCell="1" allowOverlap="1" wp14:anchorId="2E13C825" wp14:editId="4AC447E9">
            <wp:simplePos x="0" y="0"/>
            <wp:positionH relativeFrom="margin">
              <wp:posOffset>-819150</wp:posOffset>
            </wp:positionH>
            <wp:positionV relativeFrom="page">
              <wp:align>top</wp:align>
            </wp:positionV>
            <wp:extent cx="7442835" cy="1057275"/>
            <wp:effectExtent l="0" t="0" r="0" b="0"/>
            <wp:wrapSquare wrapText="bothSides"/>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2835" cy="1057275"/>
                    </a:xfrm>
                    <a:prstGeom prst="rect">
                      <a:avLst/>
                    </a:prstGeom>
                    <a:noFill/>
                  </pic:spPr>
                </pic:pic>
              </a:graphicData>
            </a:graphic>
            <wp14:sizeRelH relativeFrom="margin">
              <wp14:pctWidth>0</wp14:pctWidth>
            </wp14:sizeRelH>
            <wp14:sizeRelV relativeFrom="margin">
              <wp14:pctHeight>0</wp14:pctHeight>
            </wp14:sizeRelV>
          </wp:anchor>
        </w:drawing>
      </w:r>
      <w:r w:rsidR="003F2F77" w:rsidRPr="00AD1531">
        <w:rPr>
          <w:color w:val="000000"/>
          <w:sz w:val="20"/>
        </w:rPr>
        <w:t xml:space="preserve">Press Release – </w:t>
      </w:r>
      <w:r w:rsidR="00E34237">
        <w:rPr>
          <w:color w:val="000000"/>
          <w:sz w:val="20"/>
        </w:rPr>
        <w:t>26</w:t>
      </w:r>
      <w:r w:rsidR="003F2F77" w:rsidRPr="00AD1531">
        <w:rPr>
          <w:color w:val="000000"/>
          <w:sz w:val="20"/>
        </w:rPr>
        <w:t xml:space="preserve"> </w:t>
      </w:r>
      <w:r w:rsidR="00815CB4">
        <w:rPr>
          <w:color w:val="000000"/>
          <w:sz w:val="20"/>
        </w:rPr>
        <w:t>October</w:t>
      </w:r>
      <w:r w:rsidR="004C06FB">
        <w:rPr>
          <w:color w:val="000000"/>
          <w:sz w:val="20"/>
        </w:rPr>
        <w:t xml:space="preserve"> </w:t>
      </w:r>
      <w:r w:rsidR="003F2F77" w:rsidRPr="00AD1531">
        <w:rPr>
          <w:color w:val="000000"/>
          <w:sz w:val="20"/>
        </w:rPr>
        <w:t xml:space="preserve">2022  </w:t>
      </w:r>
    </w:p>
    <w:p w14:paraId="03B7DE29" w14:textId="77777777" w:rsidR="00E34237" w:rsidRDefault="00E34237" w:rsidP="00E34237">
      <w:pPr>
        <w:jc w:val="center"/>
        <w:rPr>
          <w:b/>
          <w:bCs/>
        </w:rPr>
      </w:pPr>
    </w:p>
    <w:p w14:paraId="3FD28424" w14:textId="77777777" w:rsidR="00E34237" w:rsidRPr="00AD21C6" w:rsidRDefault="00E34237" w:rsidP="00E34237">
      <w:pPr>
        <w:jc w:val="center"/>
        <w:rPr>
          <w:b/>
          <w:bCs/>
        </w:rPr>
      </w:pPr>
      <w:r w:rsidRPr="00AD21C6">
        <w:rPr>
          <w:b/>
          <w:bCs/>
        </w:rPr>
        <w:t>PERNOD RICARD SUCCESSFULLY COMPLETES A EUR</w:t>
      </w:r>
      <w:r>
        <w:rPr>
          <w:b/>
          <w:bCs/>
        </w:rPr>
        <w:t xml:space="preserve"> </w:t>
      </w:r>
      <w:r w:rsidRPr="00AD21C6">
        <w:rPr>
          <w:b/>
          <w:bCs/>
        </w:rPr>
        <w:t>1.1 BILLION SUSTAINABILITY-LINKED DUAL TRANCHE ISSUANCE</w:t>
      </w:r>
    </w:p>
    <w:p w14:paraId="0A242A3B" w14:textId="77777777" w:rsidR="00E34237" w:rsidRDefault="00E34237" w:rsidP="00E34237">
      <w:pPr>
        <w:jc w:val="center"/>
      </w:pPr>
    </w:p>
    <w:p w14:paraId="6C3F791B" w14:textId="37680C0F" w:rsidR="00606237" w:rsidRPr="00E34237" w:rsidRDefault="00606237" w:rsidP="003F76A9">
      <w:pPr>
        <w:pBdr>
          <w:top w:val="nil"/>
          <w:left w:val="nil"/>
          <w:bottom w:val="nil"/>
          <w:right w:val="nil"/>
          <w:between w:val="nil"/>
        </w:pBdr>
        <w:tabs>
          <w:tab w:val="left" w:pos="6132"/>
        </w:tabs>
        <w:rPr>
          <w:b/>
          <w:sz w:val="32"/>
          <w:highlight w:val="white"/>
        </w:rPr>
      </w:pPr>
    </w:p>
    <w:p w14:paraId="6F8EF9DD" w14:textId="77777777" w:rsidR="004E7F9C" w:rsidRPr="003271BB" w:rsidRDefault="004E7F9C" w:rsidP="00610384">
      <w:pPr>
        <w:pBdr>
          <w:top w:val="nil"/>
          <w:left w:val="nil"/>
          <w:bottom w:val="nil"/>
          <w:right w:val="nil"/>
          <w:between w:val="nil"/>
        </w:pBdr>
        <w:jc w:val="both"/>
        <w:rPr>
          <w:bCs/>
          <w:sz w:val="20"/>
          <w:szCs w:val="20"/>
          <w:lang w:val="en-US"/>
        </w:rPr>
      </w:pPr>
    </w:p>
    <w:p w14:paraId="57AADE50" w14:textId="2874C20C" w:rsidR="00E34237" w:rsidRDefault="00E34237" w:rsidP="00E34237">
      <w:pPr>
        <w:jc w:val="both"/>
        <w:rPr>
          <w:i/>
          <w:iCs/>
          <w:sz w:val="20"/>
          <w:szCs w:val="20"/>
        </w:rPr>
      </w:pPr>
      <w:r w:rsidRPr="00E34237">
        <w:rPr>
          <w:i/>
          <w:iCs/>
          <w:sz w:val="20"/>
          <w:szCs w:val="20"/>
        </w:rPr>
        <w:t>Not for distribution directly or indirectly in Canada or Japan. The distribution of this document in certain jurisdictions may be restricted by law. Persons who come into possession of this document are required to inquire about, and comply with, potential local restrictions. This document does not constitute an offer, or an invitation to apply for, or an offer or invitation to purchase or subscribe for any securities either in the United States or in any other jurisdiction. Securities may not be offered or sold in the United States, or to or for the account or benefit of U.S. persons (as defined in Regulation S under U.S. Securities Act of 1933), unless they are registered or exempt from registration under the U.S. Securities Act of 1933, as amended. Pernod Ricard does not intend to register the offer detailed in the press release, in whole or in part, in the United States, and nor does it intend to carry out any public offer in the United States.</w:t>
      </w:r>
    </w:p>
    <w:p w14:paraId="22450B12" w14:textId="77777777" w:rsidR="00E34237" w:rsidRPr="00E34237" w:rsidRDefault="00E34237" w:rsidP="00E34237">
      <w:pPr>
        <w:jc w:val="both"/>
        <w:rPr>
          <w:i/>
          <w:iCs/>
          <w:sz w:val="20"/>
          <w:szCs w:val="20"/>
        </w:rPr>
      </w:pPr>
    </w:p>
    <w:tbl>
      <w:tblPr>
        <w:tblStyle w:val="Grilledutableau"/>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535"/>
        <w:gridCol w:w="1725"/>
        <w:gridCol w:w="1759"/>
        <w:gridCol w:w="1236"/>
        <w:gridCol w:w="1068"/>
        <w:gridCol w:w="1743"/>
      </w:tblGrid>
      <w:tr w:rsidR="00E34237" w14:paraId="6FC7DA11" w14:textId="77777777" w:rsidTr="00E34237">
        <w:tc>
          <w:tcPr>
            <w:tcW w:w="1535" w:type="dxa"/>
          </w:tcPr>
          <w:p w14:paraId="29D258DA" w14:textId="77777777" w:rsidR="00E34237" w:rsidRPr="00B46C32" w:rsidRDefault="00E34237" w:rsidP="001404B9">
            <w:pPr>
              <w:jc w:val="center"/>
              <w:rPr>
                <w:b/>
                <w:bCs/>
              </w:rPr>
            </w:pPr>
            <w:r w:rsidRPr="00B46C32">
              <w:rPr>
                <w:b/>
                <w:bCs/>
              </w:rPr>
              <w:t>Amount (EUR)</w:t>
            </w:r>
          </w:p>
        </w:tc>
        <w:tc>
          <w:tcPr>
            <w:tcW w:w="1725" w:type="dxa"/>
          </w:tcPr>
          <w:p w14:paraId="05A76A62" w14:textId="77777777" w:rsidR="00E34237" w:rsidRPr="00B46C32" w:rsidRDefault="00E34237" w:rsidP="001404B9">
            <w:pPr>
              <w:jc w:val="center"/>
              <w:rPr>
                <w:b/>
                <w:bCs/>
              </w:rPr>
            </w:pPr>
            <w:r w:rsidRPr="00B46C32">
              <w:rPr>
                <w:b/>
                <w:bCs/>
              </w:rPr>
              <w:t>Maturity</w:t>
            </w:r>
          </w:p>
        </w:tc>
        <w:tc>
          <w:tcPr>
            <w:tcW w:w="1759" w:type="dxa"/>
          </w:tcPr>
          <w:p w14:paraId="02A8DFA6" w14:textId="77777777" w:rsidR="00E34237" w:rsidRPr="00B46C32" w:rsidRDefault="00E34237" w:rsidP="001404B9">
            <w:pPr>
              <w:jc w:val="center"/>
              <w:rPr>
                <w:b/>
                <w:bCs/>
              </w:rPr>
            </w:pPr>
            <w:r w:rsidRPr="00B46C32">
              <w:rPr>
                <w:b/>
                <w:bCs/>
              </w:rPr>
              <w:t>Settlement</w:t>
            </w:r>
          </w:p>
        </w:tc>
        <w:tc>
          <w:tcPr>
            <w:tcW w:w="1236" w:type="dxa"/>
          </w:tcPr>
          <w:p w14:paraId="23989B51" w14:textId="77777777" w:rsidR="00E34237" w:rsidRPr="00B46C32" w:rsidRDefault="00E34237" w:rsidP="001404B9">
            <w:pPr>
              <w:jc w:val="center"/>
              <w:rPr>
                <w:b/>
                <w:bCs/>
              </w:rPr>
            </w:pPr>
            <w:r w:rsidRPr="00B46C32">
              <w:rPr>
                <w:b/>
                <w:bCs/>
              </w:rPr>
              <w:t>Coupon</w:t>
            </w:r>
          </w:p>
        </w:tc>
        <w:tc>
          <w:tcPr>
            <w:tcW w:w="1068" w:type="dxa"/>
          </w:tcPr>
          <w:p w14:paraId="308B3082" w14:textId="77777777" w:rsidR="00E34237" w:rsidRPr="00B46C32" w:rsidRDefault="00E34237" w:rsidP="001404B9">
            <w:pPr>
              <w:jc w:val="center"/>
              <w:rPr>
                <w:b/>
                <w:bCs/>
              </w:rPr>
            </w:pPr>
            <w:r w:rsidRPr="00B46C32">
              <w:rPr>
                <w:b/>
                <w:bCs/>
              </w:rPr>
              <w:t>Yield</w:t>
            </w:r>
          </w:p>
        </w:tc>
        <w:tc>
          <w:tcPr>
            <w:tcW w:w="1743" w:type="dxa"/>
          </w:tcPr>
          <w:p w14:paraId="66D0B54B" w14:textId="77777777" w:rsidR="00E34237" w:rsidRPr="00B46C32" w:rsidRDefault="00E34237" w:rsidP="001404B9">
            <w:pPr>
              <w:jc w:val="center"/>
              <w:rPr>
                <w:b/>
                <w:bCs/>
              </w:rPr>
            </w:pPr>
            <w:r w:rsidRPr="00B46C32">
              <w:rPr>
                <w:b/>
                <w:bCs/>
              </w:rPr>
              <w:t>Re-offer spread</w:t>
            </w:r>
          </w:p>
        </w:tc>
      </w:tr>
      <w:tr w:rsidR="00E34237" w14:paraId="1A653D69" w14:textId="77777777" w:rsidTr="00E34237">
        <w:tc>
          <w:tcPr>
            <w:tcW w:w="1535" w:type="dxa"/>
          </w:tcPr>
          <w:p w14:paraId="6105C233" w14:textId="77777777" w:rsidR="00E34237" w:rsidRDefault="00E34237" w:rsidP="001404B9">
            <w:pPr>
              <w:jc w:val="center"/>
            </w:pPr>
            <w:r>
              <w:t>600,000,000</w:t>
            </w:r>
          </w:p>
        </w:tc>
        <w:tc>
          <w:tcPr>
            <w:tcW w:w="1725" w:type="dxa"/>
          </w:tcPr>
          <w:p w14:paraId="34F7FA77" w14:textId="77777777" w:rsidR="00E34237" w:rsidRDefault="00E34237" w:rsidP="001404B9">
            <w:pPr>
              <w:jc w:val="center"/>
            </w:pPr>
            <w:r>
              <w:t>0</w:t>
            </w:r>
            <w:r w:rsidRPr="00CD04E4">
              <w:t>2-Nov-</w:t>
            </w:r>
            <w:r>
              <w:t>20</w:t>
            </w:r>
            <w:r w:rsidRPr="00CD04E4">
              <w:t>28</w:t>
            </w:r>
          </w:p>
        </w:tc>
        <w:tc>
          <w:tcPr>
            <w:tcW w:w="1759" w:type="dxa"/>
          </w:tcPr>
          <w:p w14:paraId="28507C33" w14:textId="77777777" w:rsidR="00E34237" w:rsidRDefault="00E34237" w:rsidP="001404B9">
            <w:pPr>
              <w:jc w:val="center"/>
            </w:pPr>
            <w:r>
              <w:t>0</w:t>
            </w:r>
            <w:r w:rsidRPr="00CD04E4">
              <w:t>2-Nov-</w:t>
            </w:r>
            <w:r>
              <w:t>20</w:t>
            </w:r>
            <w:r w:rsidRPr="00CD04E4">
              <w:t>22</w:t>
            </w:r>
          </w:p>
        </w:tc>
        <w:tc>
          <w:tcPr>
            <w:tcW w:w="1236" w:type="dxa"/>
          </w:tcPr>
          <w:p w14:paraId="32B9899E" w14:textId="77777777" w:rsidR="00E34237" w:rsidRDefault="00E34237" w:rsidP="001404B9">
            <w:pPr>
              <w:jc w:val="center"/>
            </w:pPr>
            <w:r>
              <w:t>3.250%</w:t>
            </w:r>
          </w:p>
        </w:tc>
        <w:tc>
          <w:tcPr>
            <w:tcW w:w="1068" w:type="dxa"/>
          </w:tcPr>
          <w:p w14:paraId="12E14B1E" w14:textId="77777777" w:rsidR="00E34237" w:rsidRDefault="00E34237" w:rsidP="001404B9">
            <w:pPr>
              <w:jc w:val="center"/>
            </w:pPr>
            <w:r>
              <w:t>3.478%</w:t>
            </w:r>
          </w:p>
        </w:tc>
        <w:tc>
          <w:tcPr>
            <w:tcW w:w="1743" w:type="dxa"/>
          </w:tcPr>
          <w:p w14:paraId="680B73C5" w14:textId="77777777" w:rsidR="00E34237" w:rsidRDefault="00E34237" w:rsidP="001404B9">
            <w:pPr>
              <w:jc w:val="center"/>
            </w:pPr>
            <w:r>
              <w:t>55bps</w:t>
            </w:r>
          </w:p>
        </w:tc>
      </w:tr>
      <w:tr w:rsidR="00E34237" w14:paraId="1AE2CB55" w14:textId="77777777" w:rsidTr="00E34237">
        <w:tc>
          <w:tcPr>
            <w:tcW w:w="1535" w:type="dxa"/>
          </w:tcPr>
          <w:p w14:paraId="38F1ADC0" w14:textId="77777777" w:rsidR="00E34237" w:rsidRDefault="00E34237" w:rsidP="001404B9">
            <w:pPr>
              <w:jc w:val="center"/>
            </w:pPr>
            <w:r>
              <w:t>500,000,000</w:t>
            </w:r>
          </w:p>
        </w:tc>
        <w:tc>
          <w:tcPr>
            <w:tcW w:w="1725" w:type="dxa"/>
          </w:tcPr>
          <w:p w14:paraId="2AA378F7" w14:textId="77777777" w:rsidR="00E34237" w:rsidRDefault="00E34237" w:rsidP="001404B9">
            <w:pPr>
              <w:jc w:val="center"/>
            </w:pPr>
            <w:r>
              <w:t>0</w:t>
            </w:r>
            <w:r w:rsidRPr="00CD04E4">
              <w:t>2-Nov-</w:t>
            </w:r>
            <w:r>
              <w:t>20</w:t>
            </w:r>
            <w:r w:rsidRPr="00CD04E4">
              <w:t>32</w:t>
            </w:r>
          </w:p>
        </w:tc>
        <w:tc>
          <w:tcPr>
            <w:tcW w:w="1759" w:type="dxa"/>
          </w:tcPr>
          <w:p w14:paraId="5C6469E1" w14:textId="77777777" w:rsidR="00E34237" w:rsidRDefault="00E34237" w:rsidP="001404B9">
            <w:pPr>
              <w:jc w:val="center"/>
            </w:pPr>
            <w:r>
              <w:t>0</w:t>
            </w:r>
            <w:r w:rsidRPr="00CD04E4">
              <w:t>2-Nov-</w:t>
            </w:r>
            <w:r>
              <w:t>20</w:t>
            </w:r>
            <w:r w:rsidRPr="00CD04E4">
              <w:t>22</w:t>
            </w:r>
          </w:p>
        </w:tc>
        <w:tc>
          <w:tcPr>
            <w:tcW w:w="1236" w:type="dxa"/>
          </w:tcPr>
          <w:p w14:paraId="133EC7E4" w14:textId="77777777" w:rsidR="00E34237" w:rsidRDefault="00E34237" w:rsidP="001404B9">
            <w:pPr>
              <w:jc w:val="center"/>
            </w:pPr>
            <w:r>
              <w:t>3.750%</w:t>
            </w:r>
          </w:p>
        </w:tc>
        <w:tc>
          <w:tcPr>
            <w:tcW w:w="1068" w:type="dxa"/>
          </w:tcPr>
          <w:p w14:paraId="6A871F90" w14:textId="77777777" w:rsidR="00E34237" w:rsidRDefault="00E34237" w:rsidP="001404B9">
            <w:pPr>
              <w:jc w:val="center"/>
            </w:pPr>
            <w:r>
              <w:t>3.931%</w:t>
            </w:r>
          </w:p>
        </w:tc>
        <w:tc>
          <w:tcPr>
            <w:tcW w:w="1743" w:type="dxa"/>
          </w:tcPr>
          <w:p w14:paraId="5CD2B7D2" w14:textId="77777777" w:rsidR="00E34237" w:rsidRDefault="00E34237" w:rsidP="001404B9">
            <w:pPr>
              <w:jc w:val="center"/>
            </w:pPr>
            <w:r>
              <w:t>93bps</w:t>
            </w:r>
          </w:p>
        </w:tc>
      </w:tr>
    </w:tbl>
    <w:p w14:paraId="099F3FC5" w14:textId="77777777" w:rsidR="00E34237" w:rsidRDefault="00E34237" w:rsidP="00E34237">
      <w:pPr>
        <w:jc w:val="both"/>
      </w:pPr>
    </w:p>
    <w:p w14:paraId="3D5E0B69" w14:textId="77777777" w:rsidR="00E34237" w:rsidRDefault="00E34237" w:rsidP="00E34237">
      <w:pPr>
        <w:jc w:val="both"/>
      </w:pPr>
      <w:r w:rsidRPr="00CD04E4">
        <w:t>Pernod Ricard, the long-term senior debt of which is rated Baa1 (stable outlook) by Moody’s and BBB+ (stable outlook) by Standard &amp; Poor’s, has</w:t>
      </w:r>
      <w:r>
        <w:t xml:space="preserve"> set the terms of its new euro-denominated bond issuance for an aggregated principal amount of EUR 1.1bn across two tranches: a EUR 600m 6-Year and a EUR 500m 10-Year.</w:t>
      </w:r>
    </w:p>
    <w:p w14:paraId="5BE88060" w14:textId="77777777" w:rsidR="00E34237" w:rsidRDefault="00E34237" w:rsidP="00E34237">
      <w:pPr>
        <w:jc w:val="both"/>
      </w:pPr>
      <w:r w:rsidRPr="000164A6">
        <w:t xml:space="preserve">The deal </w:t>
      </w:r>
      <w:r>
        <w:t>marks</w:t>
      </w:r>
      <w:r w:rsidRPr="000164A6">
        <w:t xml:space="preserve"> Pernod Ricard’s </w:t>
      </w:r>
      <w:r>
        <w:t>second S</w:t>
      </w:r>
      <w:r w:rsidRPr="000164A6">
        <w:t>ustainability-</w:t>
      </w:r>
      <w:r>
        <w:t>L</w:t>
      </w:r>
      <w:r w:rsidRPr="000164A6">
        <w:t xml:space="preserve">inked </w:t>
      </w:r>
      <w:r>
        <w:t>B</w:t>
      </w:r>
      <w:r w:rsidRPr="000164A6">
        <w:t>ond</w:t>
      </w:r>
      <w:r>
        <w:t xml:space="preserve">. In line with its inaugural Sustainability-Linked Bond, </w:t>
      </w:r>
      <w:r w:rsidRPr="00A73841">
        <w:t>targets of the issuance</w:t>
      </w:r>
      <w:r>
        <w:t xml:space="preserve"> are </w:t>
      </w:r>
      <w:r w:rsidRPr="000164A6">
        <w:t>linked to two environmental commitments: to reduce the Group’s absolute greenhouse gas emissions (Scope 1&amp;2) and to decrease the water consumption per unit at distilleries.</w:t>
      </w:r>
    </w:p>
    <w:p w14:paraId="0191DCCA" w14:textId="77777777" w:rsidR="00E34237" w:rsidRDefault="00E34237" w:rsidP="00E34237">
      <w:pPr>
        <w:jc w:val="both"/>
      </w:pPr>
      <w:r w:rsidRPr="000164A6">
        <w:t xml:space="preserve">This transaction </w:t>
      </w:r>
      <w:r>
        <w:t>fits within</w:t>
      </w:r>
      <w:r w:rsidRPr="000164A6">
        <w:t xml:space="preserve"> Pernod Ricard’s </w:t>
      </w:r>
      <w:r>
        <w:t>continued</w:t>
      </w:r>
      <w:r w:rsidRPr="000164A6">
        <w:t xml:space="preserve"> integration of sustainability actions into its daily operations and financing strategy, in-line with the Group’s Sustainability &amp; Responsibility (S&amp;R) Roadmap.</w:t>
      </w:r>
    </w:p>
    <w:p w14:paraId="53CFD2CD" w14:textId="77777777" w:rsidR="00E34237" w:rsidRDefault="00E34237" w:rsidP="00E34237">
      <w:pPr>
        <w:jc w:val="both"/>
      </w:pPr>
    </w:p>
    <w:p w14:paraId="66D6DCC3" w14:textId="77777777" w:rsidR="00E34237" w:rsidRDefault="00E34237" w:rsidP="00E34237">
      <w:pPr>
        <w:jc w:val="both"/>
      </w:pPr>
      <w:r>
        <w:t>The Sustainability-Linked Financing Framework and the Second-Party Opinion are available at: https://www.pernod-ricard.com/en/investors/share-debt-information#debt-information-430</w:t>
      </w:r>
    </w:p>
    <w:p w14:paraId="5BE0056C" w14:textId="77777777" w:rsidR="00E34237" w:rsidRDefault="00E34237" w:rsidP="00E34237">
      <w:pPr>
        <w:jc w:val="both"/>
      </w:pPr>
      <w:r>
        <w:t>The net proceeds of this issuance will be used for general corporate purposes of Pernod Ricard.</w:t>
      </w:r>
    </w:p>
    <w:p w14:paraId="57DE37E2" w14:textId="77777777" w:rsidR="00352EE1" w:rsidRPr="00E34237" w:rsidRDefault="00352EE1" w:rsidP="006008D4">
      <w:pPr>
        <w:pBdr>
          <w:top w:val="nil"/>
          <w:left w:val="nil"/>
          <w:bottom w:val="nil"/>
          <w:right w:val="nil"/>
          <w:between w:val="nil"/>
        </w:pBdr>
        <w:ind w:firstLine="284"/>
        <w:jc w:val="both"/>
        <w:rPr>
          <w:bCs/>
          <w:sz w:val="22"/>
          <w:szCs w:val="22"/>
        </w:rPr>
      </w:pPr>
    </w:p>
    <w:p w14:paraId="1FEDBDB4" w14:textId="0DDEC9A1" w:rsidR="00FE4594" w:rsidRDefault="00FE4594">
      <w:pPr>
        <w:rPr>
          <w:b/>
          <w:sz w:val="21"/>
        </w:rPr>
      </w:pPr>
      <w:r>
        <w:rPr>
          <w:b/>
          <w:sz w:val="21"/>
        </w:rPr>
        <w:br w:type="page"/>
      </w:r>
    </w:p>
    <w:p w14:paraId="36E9CFE6" w14:textId="77777777" w:rsidR="0010661D" w:rsidRDefault="0010661D">
      <w:pPr>
        <w:rPr>
          <w:b/>
          <w:sz w:val="21"/>
        </w:rPr>
      </w:pPr>
    </w:p>
    <w:p w14:paraId="1C453CA0" w14:textId="7E58637D" w:rsidR="00606237" w:rsidRPr="00A9397C" w:rsidRDefault="00606237" w:rsidP="00606237">
      <w:pPr>
        <w:jc w:val="both"/>
        <w:rPr>
          <w:b/>
          <w:sz w:val="22"/>
          <w:szCs w:val="22"/>
        </w:rPr>
      </w:pPr>
      <w:r w:rsidRPr="00A9397C">
        <w:rPr>
          <w:b/>
          <w:sz w:val="22"/>
          <w:szCs w:val="28"/>
        </w:rPr>
        <w:t>About Pernod Ricard</w:t>
      </w:r>
    </w:p>
    <w:p w14:paraId="1BB97438" w14:textId="77777777" w:rsidR="001A4BA4" w:rsidRPr="00050D47" w:rsidRDefault="001A4BA4" w:rsidP="001A4BA4">
      <w:pPr>
        <w:ind w:left="23"/>
        <w:jc w:val="both"/>
        <w:rPr>
          <w:rFonts w:ascii="Cambria" w:eastAsia="MS Mincho" w:hAnsi="Cambria"/>
          <w:i/>
          <w:iCs/>
          <w:sz w:val="18"/>
          <w:szCs w:val="18"/>
          <w:bdr w:val="none" w:sz="0" w:space="0" w:color="auto" w:frame="1"/>
          <w:lang w:val="en-US"/>
        </w:rPr>
      </w:pPr>
      <w:r>
        <w:rPr>
          <w:rFonts w:ascii="Cambria" w:eastAsia="MS Mincho" w:hAnsi="Cambria"/>
          <w:i/>
          <w:iCs/>
          <w:sz w:val="18"/>
          <w:szCs w:val="18"/>
          <w:bdr w:val="none" w:sz="0" w:space="0" w:color="auto" w:frame="1"/>
          <w:lang w:val="en-US"/>
        </w:rPr>
        <w:t xml:space="preserve">Pernod Ricard is the No.2 worldwide producer of wines and spirits with consolidated sales of €10,701 million in FY22. </w:t>
      </w:r>
      <w:r w:rsidRPr="00050D47">
        <w:rPr>
          <w:rFonts w:ascii="Cambria" w:eastAsia="MS Mincho" w:hAnsi="Cambria"/>
          <w:i/>
          <w:iCs/>
          <w:sz w:val="18"/>
          <w:szCs w:val="18"/>
          <w:bdr w:val="none" w:sz="0" w:space="0" w:color="auto" w:frame="1"/>
          <w:lang w:val="en-US"/>
        </w:rPr>
        <w:t xml:space="preserve">Created in 1975 by the merger of Ricard and Pernod, the Group has developed through organic growth and acquisitions: Seagram (2001), Allied Domecq (2005) and </w:t>
      </w:r>
      <w:proofErr w:type="spellStart"/>
      <w:r w:rsidRPr="00050D47">
        <w:rPr>
          <w:rFonts w:ascii="Cambria" w:eastAsia="MS Mincho" w:hAnsi="Cambria"/>
          <w:i/>
          <w:iCs/>
          <w:sz w:val="18"/>
          <w:szCs w:val="18"/>
          <w:bdr w:val="none" w:sz="0" w:space="0" w:color="auto" w:frame="1"/>
          <w:lang w:val="en-US"/>
        </w:rPr>
        <w:t>Vin&amp;Sprit</w:t>
      </w:r>
      <w:proofErr w:type="spellEnd"/>
      <w:r w:rsidRPr="00050D47">
        <w:rPr>
          <w:rFonts w:ascii="Cambria" w:eastAsia="MS Mincho" w:hAnsi="Cambria"/>
          <w:i/>
          <w:iCs/>
          <w:sz w:val="18"/>
          <w:szCs w:val="18"/>
          <w:bdr w:val="none" w:sz="0" w:space="0" w:color="auto" w:frame="1"/>
          <w:lang w:val="en-US"/>
        </w:rPr>
        <w:t xml:space="preserve"> (2008). Pernod Ricard, which owns 16 of the Top 100 Spirits Brands, holds one of the most prestigious and comprehensive brand portfolios in the industry, including: Absolut Vodka, Ricard pastis, Ballantine’s, Chivas Regal, Royal Salute, and The Glenlivet Scotch whiskies, Jameson Irish whiskey, Martell cognac, Havana Club rum, Beefeater gin, Malibu liqueur, Mumm and Perrier-Jouët champagnes, as well Jacob’s Creek, Brancott Estate, Campo Viejo, and Kenwood wines. Pernod Ricard’s brands are distributed across 160+ markets and by its own salesforce in 73 markets. The Group’s </w:t>
      </w:r>
      <w:proofErr w:type="spellStart"/>
      <w:r w:rsidRPr="00050D47">
        <w:rPr>
          <w:rFonts w:ascii="Cambria" w:eastAsia="MS Mincho" w:hAnsi="Cambria"/>
          <w:i/>
          <w:iCs/>
          <w:sz w:val="18"/>
          <w:szCs w:val="18"/>
          <w:bdr w:val="none" w:sz="0" w:space="0" w:color="auto" w:frame="1"/>
          <w:lang w:val="en-US"/>
        </w:rPr>
        <w:t>decentralised</w:t>
      </w:r>
      <w:proofErr w:type="spellEnd"/>
      <w:r w:rsidRPr="00050D47">
        <w:rPr>
          <w:rFonts w:ascii="Cambria" w:eastAsia="MS Mincho" w:hAnsi="Cambria"/>
          <w:i/>
          <w:iCs/>
          <w:sz w:val="18"/>
          <w:szCs w:val="18"/>
          <w:bdr w:val="none" w:sz="0" w:space="0" w:color="auto" w:frame="1"/>
          <w:lang w:val="en-US"/>
        </w:rPr>
        <w:t xml:space="preserve"> </w:t>
      </w:r>
      <w:proofErr w:type="spellStart"/>
      <w:r w:rsidRPr="00050D47">
        <w:rPr>
          <w:rFonts w:ascii="Cambria" w:eastAsia="MS Mincho" w:hAnsi="Cambria"/>
          <w:i/>
          <w:iCs/>
          <w:sz w:val="18"/>
          <w:szCs w:val="18"/>
          <w:bdr w:val="none" w:sz="0" w:space="0" w:color="auto" w:frame="1"/>
          <w:lang w:val="en-US"/>
        </w:rPr>
        <w:t>organisation</w:t>
      </w:r>
      <w:proofErr w:type="spellEnd"/>
      <w:r w:rsidRPr="00050D47">
        <w:rPr>
          <w:rFonts w:ascii="Cambria" w:eastAsia="MS Mincho" w:hAnsi="Cambria"/>
          <w:i/>
          <w:iCs/>
          <w:sz w:val="18"/>
          <w:szCs w:val="18"/>
          <w:bdr w:val="none" w:sz="0" w:space="0" w:color="auto" w:frame="1"/>
          <w:lang w:val="en-US"/>
        </w:rPr>
        <w:t xml:space="preserve"> empowers its 19,000 employees to be true on-the-ground ambassadors of its vision of “Créateurs de Convivialité.” As reaffirmed by the Group’s strategic plan, “Transform and Accelerate,” deployed in 2018, Pernod Ricard’s strategy focuses on investing in long-term, profitable growth for all stakeholders. The Group remains true to its three founding values: entrepreneurial spirit, mutual trust, and a strong sense of ethics, as illustrated by the 2030 Sustainability and Responsibility roadmap supporting the United Nations Sustainable Development Goals (SDGs), “Good times from a good place.” In recognition of Pernod Ricard’s strong commitment to sustainable development and responsible consumption, it has received a </w:t>
      </w:r>
      <w:proofErr w:type="gramStart"/>
      <w:r w:rsidRPr="00050D47">
        <w:rPr>
          <w:rFonts w:ascii="Cambria" w:eastAsia="MS Mincho" w:hAnsi="Cambria"/>
          <w:i/>
          <w:iCs/>
          <w:sz w:val="18"/>
          <w:szCs w:val="18"/>
          <w:bdr w:val="none" w:sz="0" w:space="0" w:color="auto" w:frame="1"/>
          <w:lang w:val="en-US"/>
        </w:rPr>
        <w:t>Gold</w:t>
      </w:r>
      <w:proofErr w:type="gramEnd"/>
      <w:r w:rsidRPr="00050D47">
        <w:rPr>
          <w:rFonts w:ascii="Cambria" w:eastAsia="MS Mincho" w:hAnsi="Cambria"/>
          <w:i/>
          <w:iCs/>
          <w:sz w:val="18"/>
          <w:szCs w:val="18"/>
          <w:bdr w:val="none" w:sz="0" w:space="0" w:color="auto" w:frame="1"/>
          <w:lang w:val="en-US"/>
        </w:rPr>
        <w:t xml:space="preserve"> rating from </w:t>
      </w:r>
      <w:proofErr w:type="spellStart"/>
      <w:r w:rsidRPr="00050D47">
        <w:rPr>
          <w:rFonts w:ascii="Cambria" w:eastAsia="MS Mincho" w:hAnsi="Cambria"/>
          <w:i/>
          <w:iCs/>
          <w:sz w:val="18"/>
          <w:szCs w:val="18"/>
          <w:bdr w:val="none" w:sz="0" w:space="0" w:color="auto" w:frame="1"/>
          <w:lang w:val="en-US"/>
        </w:rPr>
        <w:t>Ecovadis</w:t>
      </w:r>
      <w:proofErr w:type="spellEnd"/>
      <w:r w:rsidRPr="00050D47">
        <w:rPr>
          <w:rFonts w:ascii="Cambria" w:eastAsia="MS Mincho" w:hAnsi="Cambria"/>
          <w:i/>
          <w:iCs/>
          <w:sz w:val="18"/>
          <w:szCs w:val="18"/>
          <w:bdr w:val="none" w:sz="0" w:space="0" w:color="auto" w:frame="1"/>
          <w:lang w:val="en-US"/>
        </w:rPr>
        <w:t>. Pernod Ricard is also a United Nation’s Global Compact LEAD company.</w:t>
      </w:r>
    </w:p>
    <w:p w14:paraId="34AC5359" w14:textId="77777777" w:rsidR="001A4BA4" w:rsidRPr="00050D47" w:rsidRDefault="001A4BA4" w:rsidP="001A4BA4">
      <w:pPr>
        <w:ind w:left="23"/>
        <w:jc w:val="both"/>
        <w:rPr>
          <w:rFonts w:ascii="Cambria" w:eastAsia="MS Mincho" w:hAnsi="Cambria"/>
          <w:i/>
          <w:iCs/>
          <w:sz w:val="18"/>
          <w:szCs w:val="18"/>
          <w:bdr w:val="none" w:sz="0" w:space="0" w:color="auto" w:frame="1"/>
          <w:lang w:val="en-US"/>
        </w:rPr>
      </w:pPr>
      <w:bookmarkStart w:id="0" w:name="_Hlk49857300"/>
      <w:r w:rsidRPr="00050D47">
        <w:rPr>
          <w:rFonts w:ascii="Cambria" w:eastAsia="MS Mincho" w:hAnsi="Cambria"/>
          <w:i/>
          <w:iCs/>
          <w:sz w:val="18"/>
          <w:szCs w:val="18"/>
          <w:bdr w:val="none" w:sz="0" w:space="0" w:color="auto" w:frame="1"/>
          <w:lang w:val="en-US"/>
        </w:rPr>
        <w:t xml:space="preserve">Pernod Ricard is listed on Euronext (Ticker: RI; ISIN Code: FR0000120693) and is part of the CAC 40 and </w:t>
      </w:r>
      <w:proofErr w:type="spellStart"/>
      <w:r w:rsidRPr="00050D47">
        <w:rPr>
          <w:rFonts w:ascii="Cambria" w:eastAsia="MS Mincho" w:hAnsi="Cambria"/>
          <w:i/>
          <w:iCs/>
          <w:sz w:val="18"/>
          <w:szCs w:val="18"/>
          <w:bdr w:val="none" w:sz="0" w:space="0" w:color="auto" w:frame="1"/>
          <w:lang w:val="en-US"/>
        </w:rPr>
        <w:t>Eurostoxx</w:t>
      </w:r>
      <w:proofErr w:type="spellEnd"/>
      <w:r w:rsidRPr="00050D47">
        <w:rPr>
          <w:rFonts w:ascii="Cambria" w:eastAsia="MS Mincho" w:hAnsi="Cambria"/>
          <w:i/>
          <w:iCs/>
          <w:sz w:val="18"/>
          <w:szCs w:val="18"/>
          <w:bdr w:val="none" w:sz="0" w:space="0" w:color="auto" w:frame="1"/>
          <w:lang w:val="en-US"/>
        </w:rPr>
        <w:t xml:space="preserve"> 50 indices.</w:t>
      </w:r>
      <w:bookmarkEnd w:id="0"/>
    </w:p>
    <w:p w14:paraId="7CB01BE8" w14:textId="77777777" w:rsidR="007A5253" w:rsidRPr="001A4BA4" w:rsidRDefault="007A5253" w:rsidP="00C90D75">
      <w:pPr>
        <w:jc w:val="both"/>
        <w:rPr>
          <w:b/>
          <w:bCs/>
          <w:i/>
          <w:iCs/>
          <w:color w:val="000000"/>
          <w:sz w:val="18"/>
          <w:szCs w:val="18"/>
          <w:lang w:val="en-US"/>
        </w:rPr>
      </w:pPr>
    </w:p>
    <w:p w14:paraId="50446D67" w14:textId="45C8EC47" w:rsidR="00606237" w:rsidRPr="00C2516C" w:rsidRDefault="00606237" w:rsidP="00C2516C">
      <w:pPr>
        <w:rPr>
          <w:rFonts w:cs="Arial"/>
          <w:b/>
          <w:bCs/>
          <w:sz w:val="21"/>
          <w:szCs w:val="21"/>
        </w:rPr>
      </w:pPr>
      <w:r w:rsidRPr="00AD1531">
        <w:rPr>
          <w:b/>
          <w:sz w:val="21"/>
        </w:rPr>
        <w:t>Contacts</w:t>
      </w:r>
      <w:r w:rsidRPr="00AD1531">
        <w:rPr>
          <w:sz w:val="18"/>
        </w:rPr>
        <w:t xml:space="preserve"> </w:t>
      </w:r>
    </w:p>
    <w:p w14:paraId="56F10F91" w14:textId="77777777" w:rsidR="00FE4594" w:rsidRPr="00A9397C" w:rsidRDefault="00FE4594" w:rsidP="00606237">
      <w:pPr>
        <w:tabs>
          <w:tab w:val="left" w:pos="7230"/>
        </w:tabs>
        <w:ind w:right="1"/>
        <w:jc w:val="both"/>
        <w:rPr>
          <w:sz w:val="20"/>
          <w:szCs w:val="28"/>
        </w:rPr>
      </w:pPr>
    </w:p>
    <w:p w14:paraId="53A7DEAE" w14:textId="77777777" w:rsidR="00465D3E" w:rsidRPr="00FC534D" w:rsidRDefault="00465D3E" w:rsidP="00465D3E">
      <w:pPr>
        <w:jc w:val="both"/>
        <w:rPr>
          <w:rFonts w:cs="Calibri"/>
          <w:b/>
          <w:i/>
          <w:iCs/>
          <w:color w:val="000000"/>
          <w:sz w:val="18"/>
          <w:szCs w:val="18"/>
          <w:lang w:val="en-US"/>
        </w:rPr>
      </w:pPr>
      <w:r w:rsidRPr="00FC534D">
        <w:rPr>
          <w:rFonts w:cs="Calibri"/>
          <w:b/>
          <w:i/>
          <w:iCs/>
          <w:color w:val="000000"/>
          <w:sz w:val="18"/>
          <w:szCs w:val="18"/>
          <w:lang w:val="en-US"/>
        </w:rPr>
        <w:t>Pernod Ricard Contacts</w:t>
      </w:r>
    </w:p>
    <w:p w14:paraId="6A169F56" w14:textId="77777777" w:rsidR="00465D3E" w:rsidRDefault="00465D3E" w:rsidP="00465D3E">
      <w:pPr>
        <w:tabs>
          <w:tab w:val="left" w:pos="7230"/>
        </w:tabs>
        <w:ind w:right="1"/>
        <w:jc w:val="both"/>
        <w:rPr>
          <w:rFonts w:cs="Arial"/>
          <w:sz w:val="18"/>
          <w:szCs w:val="18"/>
          <w:lang w:val="en-US"/>
        </w:rPr>
      </w:pPr>
    </w:p>
    <w:p w14:paraId="00EB9630" w14:textId="77777777" w:rsidR="00465D3E" w:rsidRPr="0019060B" w:rsidRDefault="00465D3E" w:rsidP="00465D3E">
      <w:pPr>
        <w:tabs>
          <w:tab w:val="left" w:pos="7230"/>
        </w:tabs>
        <w:ind w:right="1"/>
        <w:jc w:val="both"/>
        <w:rPr>
          <w:rFonts w:cs="Arial"/>
          <w:b/>
          <w:bCs/>
          <w:sz w:val="18"/>
          <w:szCs w:val="18"/>
          <w:lang w:val="en-US"/>
        </w:rPr>
      </w:pPr>
      <w:r w:rsidRPr="0019060B">
        <w:rPr>
          <w:rFonts w:cs="Arial"/>
          <w:b/>
          <w:bCs/>
          <w:sz w:val="18"/>
          <w:szCs w:val="18"/>
          <w:lang w:val="en-US"/>
        </w:rPr>
        <w:t>Investor relations</w:t>
      </w:r>
    </w:p>
    <w:p w14:paraId="68ED7126" w14:textId="77777777" w:rsidR="00465D3E" w:rsidRPr="00683080" w:rsidRDefault="00465D3E" w:rsidP="00465D3E">
      <w:pPr>
        <w:tabs>
          <w:tab w:val="left" w:pos="7230"/>
        </w:tabs>
        <w:ind w:right="1"/>
        <w:jc w:val="both"/>
        <w:rPr>
          <w:rFonts w:cs="Arial"/>
          <w:sz w:val="18"/>
          <w:szCs w:val="18"/>
          <w:lang w:val="en-US"/>
        </w:rPr>
      </w:pPr>
      <w:r>
        <w:rPr>
          <w:rFonts w:cs="Arial"/>
          <w:sz w:val="18"/>
          <w:szCs w:val="18"/>
          <w:lang w:val="en-US"/>
        </w:rPr>
        <w:t>Florence Tresarrieu</w:t>
      </w:r>
      <w:r w:rsidRPr="00932FE0">
        <w:rPr>
          <w:rFonts w:cs="Arial"/>
          <w:sz w:val="18"/>
          <w:szCs w:val="18"/>
          <w:lang w:val="en-US"/>
        </w:rPr>
        <w:t xml:space="preserve"> / </w:t>
      </w:r>
      <w:r>
        <w:rPr>
          <w:rFonts w:cs="Arial"/>
          <w:sz w:val="18"/>
          <w:szCs w:val="18"/>
          <w:lang w:val="en-US"/>
        </w:rPr>
        <w:t>Global S</w:t>
      </w:r>
      <w:r w:rsidRPr="00932FE0">
        <w:rPr>
          <w:rFonts w:cs="Arial"/>
          <w:sz w:val="18"/>
          <w:szCs w:val="18"/>
          <w:lang w:val="en-US"/>
        </w:rPr>
        <w:t>VP</w:t>
      </w:r>
      <w:r>
        <w:rPr>
          <w:rFonts w:cs="Arial"/>
          <w:sz w:val="18"/>
          <w:szCs w:val="18"/>
          <w:lang w:val="en-US"/>
        </w:rPr>
        <w:t xml:space="preserve"> Investors Relations and Treasury</w:t>
      </w:r>
      <w:r w:rsidRPr="00932FE0">
        <w:rPr>
          <w:rFonts w:cs="Arial"/>
          <w:sz w:val="18"/>
          <w:szCs w:val="18"/>
          <w:lang w:val="en-US"/>
        </w:rPr>
        <w:tab/>
      </w:r>
      <w:r w:rsidRPr="00683080">
        <w:rPr>
          <w:rFonts w:cs="Arial"/>
          <w:sz w:val="18"/>
          <w:szCs w:val="18"/>
          <w:lang w:val="en-US"/>
        </w:rPr>
        <w:t xml:space="preserve">+33 (0) 1 70 93 17 </w:t>
      </w:r>
      <w:r>
        <w:rPr>
          <w:rFonts w:cs="Arial"/>
          <w:sz w:val="18"/>
          <w:szCs w:val="18"/>
          <w:lang w:val="en-US"/>
        </w:rPr>
        <w:t>03</w:t>
      </w:r>
    </w:p>
    <w:p w14:paraId="781AA41B" w14:textId="77777777" w:rsidR="00465D3E" w:rsidRDefault="00465D3E" w:rsidP="00465D3E">
      <w:pPr>
        <w:tabs>
          <w:tab w:val="left" w:pos="7230"/>
        </w:tabs>
        <w:ind w:right="1"/>
        <w:jc w:val="both"/>
        <w:rPr>
          <w:rFonts w:cs="Arial"/>
          <w:sz w:val="18"/>
          <w:szCs w:val="18"/>
          <w:lang w:val="en-US"/>
        </w:rPr>
      </w:pPr>
      <w:r>
        <w:rPr>
          <w:rFonts w:cs="Arial"/>
          <w:sz w:val="18"/>
          <w:szCs w:val="18"/>
          <w:lang w:val="en-US"/>
        </w:rPr>
        <w:t>Edward Mayle</w:t>
      </w:r>
      <w:r w:rsidRPr="00932FE0">
        <w:rPr>
          <w:rFonts w:cs="Arial"/>
          <w:sz w:val="18"/>
          <w:szCs w:val="18"/>
          <w:lang w:val="en-US"/>
        </w:rPr>
        <w:t xml:space="preserve"> / Investor Relations </w:t>
      </w:r>
      <w:r>
        <w:rPr>
          <w:rFonts w:cs="Arial"/>
          <w:sz w:val="18"/>
          <w:szCs w:val="18"/>
          <w:lang w:val="en-US"/>
        </w:rPr>
        <w:t>Director</w:t>
      </w:r>
      <w:r w:rsidRPr="00932FE0">
        <w:rPr>
          <w:rFonts w:cs="Arial"/>
          <w:sz w:val="18"/>
          <w:szCs w:val="18"/>
          <w:lang w:val="en-US"/>
        </w:rPr>
        <w:tab/>
      </w:r>
      <w:r w:rsidRPr="00683080">
        <w:rPr>
          <w:rFonts w:cs="Arial"/>
          <w:sz w:val="18"/>
          <w:szCs w:val="18"/>
          <w:lang w:val="en-US"/>
        </w:rPr>
        <w:t>+33 (0) 1 70 93 17 13</w:t>
      </w:r>
    </w:p>
    <w:p w14:paraId="31169B4B" w14:textId="77777777" w:rsidR="00465D3E" w:rsidRPr="00683080" w:rsidRDefault="00465D3E" w:rsidP="00465D3E">
      <w:pPr>
        <w:tabs>
          <w:tab w:val="left" w:pos="7230"/>
        </w:tabs>
        <w:ind w:right="1"/>
        <w:jc w:val="both"/>
        <w:rPr>
          <w:lang w:val="en-US"/>
        </w:rPr>
      </w:pPr>
      <w:r>
        <w:rPr>
          <w:rFonts w:cs="Arial"/>
          <w:sz w:val="18"/>
          <w:szCs w:val="18"/>
          <w:lang w:val="en-US"/>
        </w:rPr>
        <w:t>Charly Montet</w:t>
      </w:r>
      <w:r w:rsidRPr="00932FE0">
        <w:rPr>
          <w:rFonts w:cs="Arial"/>
          <w:sz w:val="18"/>
          <w:szCs w:val="18"/>
          <w:lang w:val="en-US"/>
        </w:rPr>
        <w:t xml:space="preserve"> / Investor Relations Manager</w:t>
      </w:r>
      <w:r w:rsidRPr="00932FE0">
        <w:rPr>
          <w:rFonts w:cs="Arial"/>
          <w:sz w:val="18"/>
          <w:szCs w:val="18"/>
          <w:lang w:val="en-US"/>
        </w:rPr>
        <w:tab/>
      </w:r>
      <w:r w:rsidRPr="00683080">
        <w:rPr>
          <w:rFonts w:cs="Arial"/>
          <w:sz w:val="18"/>
          <w:szCs w:val="18"/>
          <w:lang w:val="en-US"/>
        </w:rPr>
        <w:t xml:space="preserve">+33 (0) 1 70 93 17 13 </w:t>
      </w:r>
    </w:p>
    <w:p w14:paraId="4B504CE9" w14:textId="77777777" w:rsidR="00465D3E" w:rsidRDefault="00465D3E" w:rsidP="00465D3E">
      <w:pPr>
        <w:tabs>
          <w:tab w:val="left" w:pos="7230"/>
        </w:tabs>
        <w:ind w:right="1"/>
        <w:jc w:val="both"/>
        <w:rPr>
          <w:rFonts w:cs="Arial"/>
          <w:sz w:val="18"/>
          <w:szCs w:val="18"/>
        </w:rPr>
      </w:pPr>
    </w:p>
    <w:p w14:paraId="62A3571E" w14:textId="77777777" w:rsidR="00465D3E" w:rsidRPr="0019060B" w:rsidRDefault="00465D3E" w:rsidP="00465D3E">
      <w:pPr>
        <w:tabs>
          <w:tab w:val="left" w:pos="7230"/>
        </w:tabs>
        <w:ind w:right="1"/>
        <w:jc w:val="both"/>
        <w:rPr>
          <w:rFonts w:cs="Arial"/>
          <w:b/>
          <w:bCs/>
          <w:sz w:val="18"/>
          <w:szCs w:val="18"/>
        </w:rPr>
      </w:pPr>
      <w:r w:rsidRPr="0019060B">
        <w:rPr>
          <w:rFonts w:cs="Arial"/>
          <w:b/>
          <w:bCs/>
          <w:sz w:val="18"/>
          <w:szCs w:val="18"/>
        </w:rPr>
        <w:t>Media</w:t>
      </w:r>
    </w:p>
    <w:p w14:paraId="2F51F6E3" w14:textId="77777777" w:rsidR="00465D3E" w:rsidRPr="009433E5" w:rsidRDefault="00465D3E" w:rsidP="00465D3E">
      <w:pPr>
        <w:tabs>
          <w:tab w:val="left" w:pos="7230"/>
        </w:tabs>
        <w:ind w:right="1"/>
        <w:jc w:val="both"/>
        <w:rPr>
          <w:rFonts w:cs="Arial"/>
          <w:sz w:val="18"/>
          <w:szCs w:val="18"/>
        </w:rPr>
      </w:pPr>
      <w:r w:rsidRPr="009433E5">
        <w:rPr>
          <w:rFonts w:cs="Arial"/>
          <w:sz w:val="18"/>
          <w:szCs w:val="18"/>
        </w:rPr>
        <w:t>Emmanuel Vouin / Head of E</w:t>
      </w:r>
      <w:r>
        <w:rPr>
          <w:rFonts w:cs="Arial"/>
          <w:sz w:val="18"/>
          <w:szCs w:val="18"/>
        </w:rPr>
        <w:t>xternal Engagement</w:t>
      </w:r>
      <w:r w:rsidRPr="009433E5">
        <w:rPr>
          <w:rFonts w:cs="Arial"/>
          <w:sz w:val="18"/>
          <w:szCs w:val="18"/>
        </w:rPr>
        <w:tab/>
        <w:t>+33 (0) 1 70 93 16 34</w:t>
      </w:r>
    </w:p>
    <w:p w14:paraId="02B3C32E" w14:textId="77777777" w:rsidR="00606237" w:rsidRPr="00A9397C" w:rsidRDefault="00606237" w:rsidP="00606237">
      <w:pPr>
        <w:tabs>
          <w:tab w:val="left" w:pos="7230"/>
        </w:tabs>
        <w:ind w:right="1"/>
        <w:jc w:val="both"/>
        <w:rPr>
          <w:rFonts w:cs="Arial"/>
          <w:sz w:val="20"/>
          <w:szCs w:val="20"/>
        </w:rPr>
      </w:pPr>
    </w:p>
    <w:sectPr w:rsidR="00606237" w:rsidRPr="00A9397C">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9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7EB2" w14:textId="77777777" w:rsidR="00584B84" w:rsidRDefault="00584B84">
      <w:r>
        <w:separator/>
      </w:r>
    </w:p>
  </w:endnote>
  <w:endnote w:type="continuationSeparator" w:id="0">
    <w:p w14:paraId="411600AB" w14:textId="77777777" w:rsidR="00584B84" w:rsidRDefault="00584B84">
      <w:r>
        <w:continuationSeparator/>
      </w:r>
    </w:p>
  </w:endnote>
  <w:endnote w:type="continuationNotice" w:id="1">
    <w:p w14:paraId="068182E1" w14:textId="77777777" w:rsidR="00584B84" w:rsidRDefault="00584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D85F" w14:textId="77777777" w:rsidR="006B6841" w:rsidRDefault="006B68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CB7B" w14:textId="77777777" w:rsidR="006B6841" w:rsidRDefault="006B68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679" w14:textId="77777777" w:rsidR="006B6841" w:rsidRDefault="006B6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0C12" w14:textId="77777777" w:rsidR="00584B84" w:rsidRDefault="00584B84">
      <w:r>
        <w:separator/>
      </w:r>
    </w:p>
  </w:footnote>
  <w:footnote w:type="continuationSeparator" w:id="0">
    <w:p w14:paraId="40AC8F32" w14:textId="77777777" w:rsidR="00584B84" w:rsidRDefault="00584B84">
      <w:r>
        <w:continuationSeparator/>
      </w:r>
    </w:p>
  </w:footnote>
  <w:footnote w:type="continuationNotice" w:id="1">
    <w:p w14:paraId="55ACCA3B" w14:textId="77777777" w:rsidR="00584B84" w:rsidRDefault="00584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9D8A" w14:textId="77777777" w:rsidR="006B6841" w:rsidRDefault="006B68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0537" w14:textId="77777777" w:rsidR="006B6841" w:rsidRDefault="006B68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834" w14:textId="77777777" w:rsidR="006B6841" w:rsidRDefault="006B68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3CA"/>
    <w:multiLevelType w:val="hybridMultilevel"/>
    <w:tmpl w:val="44B2B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A4482"/>
    <w:multiLevelType w:val="hybridMultilevel"/>
    <w:tmpl w:val="64F69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B6CDD"/>
    <w:multiLevelType w:val="hybridMultilevel"/>
    <w:tmpl w:val="5CF6E2D6"/>
    <w:lvl w:ilvl="0" w:tplc="9E4A19D8">
      <w:start w:val="1"/>
      <w:numFmt w:val="bullet"/>
      <w:lvlText w:val="−"/>
      <w:lvlJc w:val="left"/>
      <w:pPr>
        <w:ind w:left="990" w:hanging="360"/>
      </w:pPr>
      <w:rPr>
        <w:rFonts w:ascii="Calibri" w:hAnsi="Calibri" w:hint="default"/>
      </w:rPr>
    </w:lvl>
    <w:lvl w:ilvl="1" w:tplc="080A0003">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 w15:restartNumberingAfterBreak="0">
    <w:nsid w:val="3C6A76D5"/>
    <w:multiLevelType w:val="hybridMultilevel"/>
    <w:tmpl w:val="359E4842"/>
    <w:lvl w:ilvl="0" w:tplc="7B503C0E">
      <w:numFmt w:val="bullet"/>
      <w:lvlText w:val="-"/>
      <w:lvlJc w:val="left"/>
      <w:pPr>
        <w:ind w:left="0" w:hanging="360"/>
      </w:pPr>
      <w:rPr>
        <w:rFonts w:ascii="Calibri" w:eastAsia="Calibri"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4" w15:restartNumberingAfterBreak="0">
    <w:nsid w:val="40F9608C"/>
    <w:multiLevelType w:val="hybridMultilevel"/>
    <w:tmpl w:val="430A5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16C27"/>
    <w:multiLevelType w:val="hybridMultilevel"/>
    <w:tmpl w:val="AE4C1C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75016E48"/>
    <w:multiLevelType w:val="hybridMultilevel"/>
    <w:tmpl w:val="3B8833BE"/>
    <w:lvl w:ilvl="0" w:tplc="B6CE9A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E96E7E"/>
    <w:multiLevelType w:val="hybridMultilevel"/>
    <w:tmpl w:val="54500812"/>
    <w:lvl w:ilvl="0" w:tplc="D5F6EE1A">
      <w:start w:val="1"/>
      <w:numFmt w:val="bullet"/>
      <w:lvlText w:val="-"/>
      <w:lvlJc w:val="left"/>
      <w:pPr>
        <w:tabs>
          <w:tab w:val="num" w:pos="720"/>
        </w:tabs>
        <w:ind w:left="720" w:hanging="360"/>
      </w:pPr>
      <w:rPr>
        <w:rFonts w:ascii="Times New Roman" w:hAnsi="Times New Roman" w:hint="default"/>
      </w:rPr>
    </w:lvl>
    <w:lvl w:ilvl="1" w:tplc="0C346358" w:tentative="1">
      <w:start w:val="1"/>
      <w:numFmt w:val="bullet"/>
      <w:lvlText w:val="-"/>
      <w:lvlJc w:val="left"/>
      <w:pPr>
        <w:tabs>
          <w:tab w:val="num" w:pos="1440"/>
        </w:tabs>
        <w:ind w:left="1440" w:hanging="360"/>
      </w:pPr>
      <w:rPr>
        <w:rFonts w:ascii="Times New Roman" w:hAnsi="Times New Roman" w:hint="default"/>
      </w:rPr>
    </w:lvl>
    <w:lvl w:ilvl="2" w:tplc="B0FAD5C6" w:tentative="1">
      <w:start w:val="1"/>
      <w:numFmt w:val="bullet"/>
      <w:lvlText w:val="-"/>
      <w:lvlJc w:val="left"/>
      <w:pPr>
        <w:tabs>
          <w:tab w:val="num" w:pos="2160"/>
        </w:tabs>
        <w:ind w:left="2160" w:hanging="360"/>
      </w:pPr>
      <w:rPr>
        <w:rFonts w:ascii="Times New Roman" w:hAnsi="Times New Roman" w:hint="default"/>
      </w:rPr>
    </w:lvl>
    <w:lvl w:ilvl="3" w:tplc="913883BE" w:tentative="1">
      <w:start w:val="1"/>
      <w:numFmt w:val="bullet"/>
      <w:lvlText w:val="-"/>
      <w:lvlJc w:val="left"/>
      <w:pPr>
        <w:tabs>
          <w:tab w:val="num" w:pos="2880"/>
        </w:tabs>
        <w:ind w:left="2880" w:hanging="360"/>
      </w:pPr>
      <w:rPr>
        <w:rFonts w:ascii="Times New Roman" w:hAnsi="Times New Roman" w:hint="default"/>
      </w:rPr>
    </w:lvl>
    <w:lvl w:ilvl="4" w:tplc="9C1C5CE6" w:tentative="1">
      <w:start w:val="1"/>
      <w:numFmt w:val="bullet"/>
      <w:lvlText w:val="-"/>
      <w:lvlJc w:val="left"/>
      <w:pPr>
        <w:tabs>
          <w:tab w:val="num" w:pos="3600"/>
        </w:tabs>
        <w:ind w:left="3600" w:hanging="360"/>
      </w:pPr>
      <w:rPr>
        <w:rFonts w:ascii="Times New Roman" w:hAnsi="Times New Roman" w:hint="default"/>
      </w:rPr>
    </w:lvl>
    <w:lvl w:ilvl="5" w:tplc="57000176" w:tentative="1">
      <w:start w:val="1"/>
      <w:numFmt w:val="bullet"/>
      <w:lvlText w:val="-"/>
      <w:lvlJc w:val="left"/>
      <w:pPr>
        <w:tabs>
          <w:tab w:val="num" w:pos="4320"/>
        </w:tabs>
        <w:ind w:left="4320" w:hanging="360"/>
      </w:pPr>
      <w:rPr>
        <w:rFonts w:ascii="Times New Roman" w:hAnsi="Times New Roman" w:hint="default"/>
      </w:rPr>
    </w:lvl>
    <w:lvl w:ilvl="6" w:tplc="85D6F2FC" w:tentative="1">
      <w:start w:val="1"/>
      <w:numFmt w:val="bullet"/>
      <w:lvlText w:val="-"/>
      <w:lvlJc w:val="left"/>
      <w:pPr>
        <w:tabs>
          <w:tab w:val="num" w:pos="5040"/>
        </w:tabs>
        <w:ind w:left="5040" w:hanging="360"/>
      </w:pPr>
      <w:rPr>
        <w:rFonts w:ascii="Times New Roman" w:hAnsi="Times New Roman" w:hint="default"/>
      </w:rPr>
    </w:lvl>
    <w:lvl w:ilvl="7" w:tplc="55DA2660" w:tentative="1">
      <w:start w:val="1"/>
      <w:numFmt w:val="bullet"/>
      <w:lvlText w:val="-"/>
      <w:lvlJc w:val="left"/>
      <w:pPr>
        <w:tabs>
          <w:tab w:val="num" w:pos="5760"/>
        </w:tabs>
        <w:ind w:left="5760" w:hanging="360"/>
      </w:pPr>
      <w:rPr>
        <w:rFonts w:ascii="Times New Roman" w:hAnsi="Times New Roman" w:hint="default"/>
      </w:rPr>
    </w:lvl>
    <w:lvl w:ilvl="8" w:tplc="B4A010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C304DB"/>
    <w:multiLevelType w:val="hybridMultilevel"/>
    <w:tmpl w:val="DC484204"/>
    <w:lvl w:ilvl="0" w:tplc="92368E3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5"/>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A5253"/>
    <w:rsid w:val="0000040C"/>
    <w:rsid w:val="0000274D"/>
    <w:rsid w:val="0000345B"/>
    <w:rsid w:val="0000563A"/>
    <w:rsid w:val="00012450"/>
    <w:rsid w:val="00013111"/>
    <w:rsid w:val="000165B0"/>
    <w:rsid w:val="00017115"/>
    <w:rsid w:val="00021C23"/>
    <w:rsid w:val="00021CBB"/>
    <w:rsid w:val="00022449"/>
    <w:rsid w:val="00022A3D"/>
    <w:rsid w:val="0002356D"/>
    <w:rsid w:val="00032565"/>
    <w:rsid w:val="00033873"/>
    <w:rsid w:val="00042DF9"/>
    <w:rsid w:val="00042E09"/>
    <w:rsid w:val="000438F5"/>
    <w:rsid w:val="00045340"/>
    <w:rsid w:val="000478C7"/>
    <w:rsid w:val="00050D47"/>
    <w:rsid w:val="00051491"/>
    <w:rsid w:val="0005737A"/>
    <w:rsid w:val="00060C06"/>
    <w:rsid w:val="00061C6B"/>
    <w:rsid w:val="000630F7"/>
    <w:rsid w:val="000648F8"/>
    <w:rsid w:val="00067332"/>
    <w:rsid w:val="00072412"/>
    <w:rsid w:val="0007648B"/>
    <w:rsid w:val="0008253B"/>
    <w:rsid w:val="00083546"/>
    <w:rsid w:val="00085670"/>
    <w:rsid w:val="00086F88"/>
    <w:rsid w:val="00092015"/>
    <w:rsid w:val="000A1D63"/>
    <w:rsid w:val="000A5CF6"/>
    <w:rsid w:val="000A6466"/>
    <w:rsid w:val="000B1A78"/>
    <w:rsid w:val="000B2F48"/>
    <w:rsid w:val="000B4E3D"/>
    <w:rsid w:val="000C1594"/>
    <w:rsid w:val="000C2DDB"/>
    <w:rsid w:val="000C6E8E"/>
    <w:rsid w:val="000D12D2"/>
    <w:rsid w:val="000D641A"/>
    <w:rsid w:val="000D6584"/>
    <w:rsid w:val="000D6C81"/>
    <w:rsid w:val="000E135E"/>
    <w:rsid w:val="000E67EF"/>
    <w:rsid w:val="000E6DF3"/>
    <w:rsid w:val="000E7D11"/>
    <w:rsid w:val="000F0196"/>
    <w:rsid w:val="000F2D4C"/>
    <w:rsid w:val="000F4633"/>
    <w:rsid w:val="0010661D"/>
    <w:rsid w:val="00111E1C"/>
    <w:rsid w:val="001150C3"/>
    <w:rsid w:val="00115410"/>
    <w:rsid w:val="0012019C"/>
    <w:rsid w:val="00125AE3"/>
    <w:rsid w:val="00131595"/>
    <w:rsid w:val="0013375D"/>
    <w:rsid w:val="00134B22"/>
    <w:rsid w:val="001406AE"/>
    <w:rsid w:val="001420CD"/>
    <w:rsid w:val="00145AC8"/>
    <w:rsid w:val="0015100E"/>
    <w:rsid w:val="00151B1A"/>
    <w:rsid w:val="00152329"/>
    <w:rsid w:val="00152720"/>
    <w:rsid w:val="00152C80"/>
    <w:rsid w:val="0015439B"/>
    <w:rsid w:val="00156C71"/>
    <w:rsid w:val="00157418"/>
    <w:rsid w:val="0016271B"/>
    <w:rsid w:val="00162D83"/>
    <w:rsid w:val="00172C88"/>
    <w:rsid w:val="00176973"/>
    <w:rsid w:val="00176B71"/>
    <w:rsid w:val="001770A2"/>
    <w:rsid w:val="00186D05"/>
    <w:rsid w:val="00186FED"/>
    <w:rsid w:val="00187158"/>
    <w:rsid w:val="0018742E"/>
    <w:rsid w:val="00191C75"/>
    <w:rsid w:val="0019383C"/>
    <w:rsid w:val="001A2F1D"/>
    <w:rsid w:val="001A2F92"/>
    <w:rsid w:val="001A40E1"/>
    <w:rsid w:val="001A4BA4"/>
    <w:rsid w:val="001B2A1A"/>
    <w:rsid w:val="001B334F"/>
    <w:rsid w:val="001B3742"/>
    <w:rsid w:val="001B589D"/>
    <w:rsid w:val="001C4E9C"/>
    <w:rsid w:val="001C75AD"/>
    <w:rsid w:val="001D100C"/>
    <w:rsid w:val="001D1418"/>
    <w:rsid w:val="001D320F"/>
    <w:rsid w:val="001D543B"/>
    <w:rsid w:val="001D54BF"/>
    <w:rsid w:val="001E2C9C"/>
    <w:rsid w:val="001E66DE"/>
    <w:rsid w:val="001F6581"/>
    <w:rsid w:val="0020326F"/>
    <w:rsid w:val="00210135"/>
    <w:rsid w:val="00211D91"/>
    <w:rsid w:val="00217E63"/>
    <w:rsid w:val="002232E7"/>
    <w:rsid w:val="002242C5"/>
    <w:rsid w:val="00230911"/>
    <w:rsid w:val="00240EF1"/>
    <w:rsid w:val="00241A4B"/>
    <w:rsid w:val="00242242"/>
    <w:rsid w:val="00244139"/>
    <w:rsid w:val="002476BA"/>
    <w:rsid w:val="002608BE"/>
    <w:rsid w:val="00263788"/>
    <w:rsid w:val="00266BC0"/>
    <w:rsid w:val="0027033D"/>
    <w:rsid w:val="00270FBC"/>
    <w:rsid w:val="002711CA"/>
    <w:rsid w:val="002731D2"/>
    <w:rsid w:val="00274490"/>
    <w:rsid w:val="00274916"/>
    <w:rsid w:val="00275AA2"/>
    <w:rsid w:val="00277844"/>
    <w:rsid w:val="00280E30"/>
    <w:rsid w:val="00280E8E"/>
    <w:rsid w:val="00281D68"/>
    <w:rsid w:val="002825B5"/>
    <w:rsid w:val="00297F37"/>
    <w:rsid w:val="002B2032"/>
    <w:rsid w:val="002C1183"/>
    <w:rsid w:val="002C1950"/>
    <w:rsid w:val="002C2E74"/>
    <w:rsid w:val="002C6B84"/>
    <w:rsid w:val="002D1F8A"/>
    <w:rsid w:val="002D250E"/>
    <w:rsid w:val="002D48C3"/>
    <w:rsid w:val="002D659B"/>
    <w:rsid w:val="002E0765"/>
    <w:rsid w:val="002E2206"/>
    <w:rsid w:val="002E3864"/>
    <w:rsid w:val="002F0554"/>
    <w:rsid w:val="002F334E"/>
    <w:rsid w:val="002F3BFA"/>
    <w:rsid w:val="002F5B9D"/>
    <w:rsid w:val="002F5C89"/>
    <w:rsid w:val="00304B5B"/>
    <w:rsid w:val="0031039D"/>
    <w:rsid w:val="00313488"/>
    <w:rsid w:val="00316435"/>
    <w:rsid w:val="00324CF4"/>
    <w:rsid w:val="00324E43"/>
    <w:rsid w:val="003271BB"/>
    <w:rsid w:val="003301DF"/>
    <w:rsid w:val="0033094C"/>
    <w:rsid w:val="00341266"/>
    <w:rsid w:val="00343017"/>
    <w:rsid w:val="0034623A"/>
    <w:rsid w:val="00347556"/>
    <w:rsid w:val="0035020B"/>
    <w:rsid w:val="00352EE1"/>
    <w:rsid w:val="00354D51"/>
    <w:rsid w:val="00355189"/>
    <w:rsid w:val="00361EA0"/>
    <w:rsid w:val="003634F4"/>
    <w:rsid w:val="00364E57"/>
    <w:rsid w:val="00366FAC"/>
    <w:rsid w:val="00373A21"/>
    <w:rsid w:val="00374B86"/>
    <w:rsid w:val="0038302D"/>
    <w:rsid w:val="00384397"/>
    <w:rsid w:val="003905E9"/>
    <w:rsid w:val="003928A9"/>
    <w:rsid w:val="00396E33"/>
    <w:rsid w:val="003A214B"/>
    <w:rsid w:val="003A4C73"/>
    <w:rsid w:val="003A5249"/>
    <w:rsid w:val="003A6097"/>
    <w:rsid w:val="003B0894"/>
    <w:rsid w:val="003B58D0"/>
    <w:rsid w:val="003C0DB7"/>
    <w:rsid w:val="003C46D1"/>
    <w:rsid w:val="003C4C49"/>
    <w:rsid w:val="003C67F3"/>
    <w:rsid w:val="003D1AAD"/>
    <w:rsid w:val="003D3540"/>
    <w:rsid w:val="003D3C0B"/>
    <w:rsid w:val="003D4BF2"/>
    <w:rsid w:val="003D5421"/>
    <w:rsid w:val="003D5EE0"/>
    <w:rsid w:val="003E0CED"/>
    <w:rsid w:val="003E1148"/>
    <w:rsid w:val="003E611E"/>
    <w:rsid w:val="003F2F77"/>
    <w:rsid w:val="003F4D94"/>
    <w:rsid w:val="003F76A9"/>
    <w:rsid w:val="0040223E"/>
    <w:rsid w:val="00405DC4"/>
    <w:rsid w:val="00406AB4"/>
    <w:rsid w:val="00412778"/>
    <w:rsid w:val="00414A53"/>
    <w:rsid w:val="004161EC"/>
    <w:rsid w:val="00416212"/>
    <w:rsid w:val="0043080C"/>
    <w:rsid w:val="004342A1"/>
    <w:rsid w:val="00435948"/>
    <w:rsid w:val="00435B0E"/>
    <w:rsid w:val="00440C39"/>
    <w:rsid w:val="00452C85"/>
    <w:rsid w:val="004538F4"/>
    <w:rsid w:val="0045586D"/>
    <w:rsid w:val="004630D5"/>
    <w:rsid w:val="00465D3E"/>
    <w:rsid w:val="0047195A"/>
    <w:rsid w:val="00474501"/>
    <w:rsid w:val="00485CBF"/>
    <w:rsid w:val="00492FA7"/>
    <w:rsid w:val="004934BB"/>
    <w:rsid w:val="00494CD1"/>
    <w:rsid w:val="00496211"/>
    <w:rsid w:val="0049756A"/>
    <w:rsid w:val="004A1485"/>
    <w:rsid w:val="004A3E47"/>
    <w:rsid w:val="004A6D11"/>
    <w:rsid w:val="004A7928"/>
    <w:rsid w:val="004B4DF4"/>
    <w:rsid w:val="004B6A9A"/>
    <w:rsid w:val="004C06FB"/>
    <w:rsid w:val="004C259F"/>
    <w:rsid w:val="004C5D06"/>
    <w:rsid w:val="004D0A7B"/>
    <w:rsid w:val="004D74DB"/>
    <w:rsid w:val="004E4762"/>
    <w:rsid w:val="004E7F9C"/>
    <w:rsid w:val="004F0E1A"/>
    <w:rsid w:val="004F21E5"/>
    <w:rsid w:val="004F66A2"/>
    <w:rsid w:val="004F74E8"/>
    <w:rsid w:val="004F7531"/>
    <w:rsid w:val="0050102D"/>
    <w:rsid w:val="00501BCF"/>
    <w:rsid w:val="0050341F"/>
    <w:rsid w:val="005120E1"/>
    <w:rsid w:val="00513A52"/>
    <w:rsid w:val="005140F7"/>
    <w:rsid w:val="00516D37"/>
    <w:rsid w:val="00521EFA"/>
    <w:rsid w:val="00525915"/>
    <w:rsid w:val="0052753E"/>
    <w:rsid w:val="00530318"/>
    <w:rsid w:val="00530710"/>
    <w:rsid w:val="0053222C"/>
    <w:rsid w:val="00540657"/>
    <w:rsid w:val="00540764"/>
    <w:rsid w:val="00547350"/>
    <w:rsid w:val="00552828"/>
    <w:rsid w:val="00553249"/>
    <w:rsid w:val="0055356C"/>
    <w:rsid w:val="005553B2"/>
    <w:rsid w:val="00557EC8"/>
    <w:rsid w:val="00560A47"/>
    <w:rsid w:val="00560E9C"/>
    <w:rsid w:val="005617DD"/>
    <w:rsid w:val="00561C82"/>
    <w:rsid w:val="00563651"/>
    <w:rsid w:val="005640FF"/>
    <w:rsid w:val="00566FAE"/>
    <w:rsid w:val="00571E04"/>
    <w:rsid w:val="00572A86"/>
    <w:rsid w:val="00573430"/>
    <w:rsid w:val="0057768A"/>
    <w:rsid w:val="00583255"/>
    <w:rsid w:val="00584B84"/>
    <w:rsid w:val="00584F9D"/>
    <w:rsid w:val="00591757"/>
    <w:rsid w:val="00594975"/>
    <w:rsid w:val="00595739"/>
    <w:rsid w:val="0059727B"/>
    <w:rsid w:val="005A3F5D"/>
    <w:rsid w:val="005A4EEE"/>
    <w:rsid w:val="005A5116"/>
    <w:rsid w:val="005A59E7"/>
    <w:rsid w:val="005C3748"/>
    <w:rsid w:val="005C7DF4"/>
    <w:rsid w:val="005D2A85"/>
    <w:rsid w:val="005D2C86"/>
    <w:rsid w:val="005D5DFB"/>
    <w:rsid w:val="005D723D"/>
    <w:rsid w:val="005E0234"/>
    <w:rsid w:val="005E0EA1"/>
    <w:rsid w:val="005E194F"/>
    <w:rsid w:val="005E3437"/>
    <w:rsid w:val="005E3BB9"/>
    <w:rsid w:val="005F153A"/>
    <w:rsid w:val="005F365E"/>
    <w:rsid w:val="005F46A3"/>
    <w:rsid w:val="005F54F7"/>
    <w:rsid w:val="006008D4"/>
    <w:rsid w:val="00600906"/>
    <w:rsid w:val="00603B07"/>
    <w:rsid w:val="00606237"/>
    <w:rsid w:val="00610384"/>
    <w:rsid w:val="00615B44"/>
    <w:rsid w:val="0061684B"/>
    <w:rsid w:val="00620AE3"/>
    <w:rsid w:val="00634783"/>
    <w:rsid w:val="00637F15"/>
    <w:rsid w:val="00640FB1"/>
    <w:rsid w:val="00642E83"/>
    <w:rsid w:val="00645B03"/>
    <w:rsid w:val="00650FC0"/>
    <w:rsid w:val="006527E0"/>
    <w:rsid w:val="006564F0"/>
    <w:rsid w:val="006616EF"/>
    <w:rsid w:val="00662C71"/>
    <w:rsid w:val="0066452A"/>
    <w:rsid w:val="00666CBA"/>
    <w:rsid w:val="006674E3"/>
    <w:rsid w:val="00673F50"/>
    <w:rsid w:val="00676587"/>
    <w:rsid w:val="006837A2"/>
    <w:rsid w:val="006850B4"/>
    <w:rsid w:val="00685ACA"/>
    <w:rsid w:val="00692BE6"/>
    <w:rsid w:val="00692BE9"/>
    <w:rsid w:val="006931D6"/>
    <w:rsid w:val="006942AF"/>
    <w:rsid w:val="006A1D10"/>
    <w:rsid w:val="006A2681"/>
    <w:rsid w:val="006A606C"/>
    <w:rsid w:val="006B16A6"/>
    <w:rsid w:val="006B54CE"/>
    <w:rsid w:val="006B58E9"/>
    <w:rsid w:val="006B6841"/>
    <w:rsid w:val="006C24F9"/>
    <w:rsid w:val="006D01D4"/>
    <w:rsid w:val="006E30F1"/>
    <w:rsid w:val="006F0C12"/>
    <w:rsid w:val="006F1023"/>
    <w:rsid w:val="006F2CF2"/>
    <w:rsid w:val="006F33E8"/>
    <w:rsid w:val="00700D6A"/>
    <w:rsid w:val="007019A5"/>
    <w:rsid w:val="0070216F"/>
    <w:rsid w:val="0070280C"/>
    <w:rsid w:val="00703BCF"/>
    <w:rsid w:val="00704A53"/>
    <w:rsid w:val="00705DEB"/>
    <w:rsid w:val="00711206"/>
    <w:rsid w:val="007151F0"/>
    <w:rsid w:val="007251DD"/>
    <w:rsid w:val="0072630A"/>
    <w:rsid w:val="007264D1"/>
    <w:rsid w:val="0072759E"/>
    <w:rsid w:val="00731620"/>
    <w:rsid w:val="00735C23"/>
    <w:rsid w:val="00736784"/>
    <w:rsid w:val="00737AAC"/>
    <w:rsid w:val="00741467"/>
    <w:rsid w:val="00743EFF"/>
    <w:rsid w:val="0075229B"/>
    <w:rsid w:val="007526C9"/>
    <w:rsid w:val="007608CF"/>
    <w:rsid w:val="00762CD1"/>
    <w:rsid w:val="0076346A"/>
    <w:rsid w:val="0076422E"/>
    <w:rsid w:val="007717D0"/>
    <w:rsid w:val="0077261E"/>
    <w:rsid w:val="007741D1"/>
    <w:rsid w:val="00780D29"/>
    <w:rsid w:val="007836F1"/>
    <w:rsid w:val="0078514C"/>
    <w:rsid w:val="007875B1"/>
    <w:rsid w:val="0078779A"/>
    <w:rsid w:val="007904B7"/>
    <w:rsid w:val="00791F9F"/>
    <w:rsid w:val="00793994"/>
    <w:rsid w:val="00797716"/>
    <w:rsid w:val="007A04D3"/>
    <w:rsid w:val="007A427C"/>
    <w:rsid w:val="007A4819"/>
    <w:rsid w:val="007A5253"/>
    <w:rsid w:val="007B0333"/>
    <w:rsid w:val="007B41A6"/>
    <w:rsid w:val="007B63BD"/>
    <w:rsid w:val="007B6952"/>
    <w:rsid w:val="007C4758"/>
    <w:rsid w:val="007C4DE0"/>
    <w:rsid w:val="007C7412"/>
    <w:rsid w:val="007C771E"/>
    <w:rsid w:val="007D0D64"/>
    <w:rsid w:val="007D44F3"/>
    <w:rsid w:val="007D538D"/>
    <w:rsid w:val="007D5E75"/>
    <w:rsid w:val="007D6B14"/>
    <w:rsid w:val="007E3E15"/>
    <w:rsid w:val="007E6AF0"/>
    <w:rsid w:val="007E6D88"/>
    <w:rsid w:val="007F04F5"/>
    <w:rsid w:val="007F0D3D"/>
    <w:rsid w:val="007F5609"/>
    <w:rsid w:val="007F79E1"/>
    <w:rsid w:val="008000D9"/>
    <w:rsid w:val="00805087"/>
    <w:rsid w:val="00807B82"/>
    <w:rsid w:val="0081386B"/>
    <w:rsid w:val="00815CB4"/>
    <w:rsid w:val="008163A9"/>
    <w:rsid w:val="00830FBD"/>
    <w:rsid w:val="00837394"/>
    <w:rsid w:val="0084073F"/>
    <w:rsid w:val="00841F96"/>
    <w:rsid w:val="0084219A"/>
    <w:rsid w:val="0084240F"/>
    <w:rsid w:val="00842F7D"/>
    <w:rsid w:val="00844D31"/>
    <w:rsid w:val="0084620A"/>
    <w:rsid w:val="00846E84"/>
    <w:rsid w:val="008521D7"/>
    <w:rsid w:val="00854D61"/>
    <w:rsid w:val="00856EC1"/>
    <w:rsid w:val="00860DCB"/>
    <w:rsid w:val="0086518E"/>
    <w:rsid w:val="00865BA1"/>
    <w:rsid w:val="00867F48"/>
    <w:rsid w:val="00870CBE"/>
    <w:rsid w:val="00871FE9"/>
    <w:rsid w:val="00875D56"/>
    <w:rsid w:val="0087637F"/>
    <w:rsid w:val="00880EAF"/>
    <w:rsid w:val="00882CCE"/>
    <w:rsid w:val="00886C2D"/>
    <w:rsid w:val="00890C4B"/>
    <w:rsid w:val="008A544F"/>
    <w:rsid w:val="008A559D"/>
    <w:rsid w:val="008B3233"/>
    <w:rsid w:val="008B6967"/>
    <w:rsid w:val="008C3F1E"/>
    <w:rsid w:val="008C7CFF"/>
    <w:rsid w:val="008D28FC"/>
    <w:rsid w:val="008D443E"/>
    <w:rsid w:val="008E1917"/>
    <w:rsid w:val="008E2EE4"/>
    <w:rsid w:val="008E3FCE"/>
    <w:rsid w:val="008F244D"/>
    <w:rsid w:val="008F4131"/>
    <w:rsid w:val="00903D8C"/>
    <w:rsid w:val="00906BC5"/>
    <w:rsid w:val="00912ACB"/>
    <w:rsid w:val="009161C5"/>
    <w:rsid w:val="00920A2E"/>
    <w:rsid w:val="009212D4"/>
    <w:rsid w:val="00925FB4"/>
    <w:rsid w:val="00931472"/>
    <w:rsid w:val="00932AE2"/>
    <w:rsid w:val="00936DAD"/>
    <w:rsid w:val="00937FBD"/>
    <w:rsid w:val="009421DC"/>
    <w:rsid w:val="009427B2"/>
    <w:rsid w:val="00943899"/>
    <w:rsid w:val="00945E9F"/>
    <w:rsid w:val="00951024"/>
    <w:rsid w:val="00952F73"/>
    <w:rsid w:val="00954F2A"/>
    <w:rsid w:val="0095606F"/>
    <w:rsid w:val="009571D8"/>
    <w:rsid w:val="0096052C"/>
    <w:rsid w:val="00962A7D"/>
    <w:rsid w:val="009637DC"/>
    <w:rsid w:val="00963E9A"/>
    <w:rsid w:val="009651AD"/>
    <w:rsid w:val="009673BF"/>
    <w:rsid w:val="009702C9"/>
    <w:rsid w:val="009722AA"/>
    <w:rsid w:val="009775F5"/>
    <w:rsid w:val="00981F01"/>
    <w:rsid w:val="00981FD9"/>
    <w:rsid w:val="00983A6F"/>
    <w:rsid w:val="0098464C"/>
    <w:rsid w:val="00986599"/>
    <w:rsid w:val="00986F47"/>
    <w:rsid w:val="00990ADB"/>
    <w:rsid w:val="00995E71"/>
    <w:rsid w:val="00997BDE"/>
    <w:rsid w:val="009A00C7"/>
    <w:rsid w:val="009A256A"/>
    <w:rsid w:val="009B77F1"/>
    <w:rsid w:val="009C1B16"/>
    <w:rsid w:val="009C3FE7"/>
    <w:rsid w:val="009C5EFB"/>
    <w:rsid w:val="009C655C"/>
    <w:rsid w:val="009C7047"/>
    <w:rsid w:val="009C7350"/>
    <w:rsid w:val="009D0A55"/>
    <w:rsid w:val="009D33C3"/>
    <w:rsid w:val="009D755B"/>
    <w:rsid w:val="009E13D7"/>
    <w:rsid w:val="009E14EA"/>
    <w:rsid w:val="009E21EB"/>
    <w:rsid w:val="009E299A"/>
    <w:rsid w:val="009E54F7"/>
    <w:rsid w:val="009F2E3E"/>
    <w:rsid w:val="009F3382"/>
    <w:rsid w:val="009F7C04"/>
    <w:rsid w:val="00A00345"/>
    <w:rsid w:val="00A01200"/>
    <w:rsid w:val="00A04385"/>
    <w:rsid w:val="00A06ADA"/>
    <w:rsid w:val="00A10F4A"/>
    <w:rsid w:val="00A11222"/>
    <w:rsid w:val="00A141F4"/>
    <w:rsid w:val="00A146CE"/>
    <w:rsid w:val="00A20BF1"/>
    <w:rsid w:val="00A21495"/>
    <w:rsid w:val="00A26439"/>
    <w:rsid w:val="00A328D3"/>
    <w:rsid w:val="00A363A8"/>
    <w:rsid w:val="00A36C1F"/>
    <w:rsid w:val="00A41D5B"/>
    <w:rsid w:val="00A4260E"/>
    <w:rsid w:val="00A456C4"/>
    <w:rsid w:val="00A45A6F"/>
    <w:rsid w:val="00A45CE1"/>
    <w:rsid w:val="00A46909"/>
    <w:rsid w:val="00A56694"/>
    <w:rsid w:val="00A64EBC"/>
    <w:rsid w:val="00A66352"/>
    <w:rsid w:val="00A66993"/>
    <w:rsid w:val="00A724DA"/>
    <w:rsid w:val="00A838A3"/>
    <w:rsid w:val="00A90DBC"/>
    <w:rsid w:val="00A9363D"/>
    <w:rsid w:val="00A9397C"/>
    <w:rsid w:val="00A93D5D"/>
    <w:rsid w:val="00A94F71"/>
    <w:rsid w:val="00A9669B"/>
    <w:rsid w:val="00AA0A12"/>
    <w:rsid w:val="00AA1253"/>
    <w:rsid w:val="00AA4462"/>
    <w:rsid w:val="00AA4E19"/>
    <w:rsid w:val="00AA5C6B"/>
    <w:rsid w:val="00AB741A"/>
    <w:rsid w:val="00AB7EAB"/>
    <w:rsid w:val="00AC2A4C"/>
    <w:rsid w:val="00AC68AE"/>
    <w:rsid w:val="00AC7E01"/>
    <w:rsid w:val="00AD1531"/>
    <w:rsid w:val="00AD4A06"/>
    <w:rsid w:val="00AD7228"/>
    <w:rsid w:val="00AE1294"/>
    <w:rsid w:val="00AE440E"/>
    <w:rsid w:val="00AE5F1B"/>
    <w:rsid w:val="00AE6A72"/>
    <w:rsid w:val="00AF02B7"/>
    <w:rsid w:val="00AF02D5"/>
    <w:rsid w:val="00AF456D"/>
    <w:rsid w:val="00AF4964"/>
    <w:rsid w:val="00AF77AE"/>
    <w:rsid w:val="00B04FB0"/>
    <w:rsid w:val="00B06572"/>
    <w:rsid w:val="00B06958"/>
    <w:rsid w:val="00B16CD6"/>
    <w:rsid w:val="00B2229D"/>
    <w:rsid w:val="00B22ABD"/>
    <w:rsid w:val="00B262A2"/>
    <w:rsid w:val="00B32BEC"/>
    <w:rsid w:val="00B37077"/>
    <w:rsid w:val="00B42296"/>
    <w:rsid w:val="00B42478"/>
    <w:rsid w:val="00B45250"/>
    <w:rsid w:val="00B457CD"/>
    <w:rsid w:val="00B5399C"/>
    <w:rsid w:val="00B56593"/>
    <w:rsid w:val="00B56855"/>
    <w:rsid w:val="00B61840"/>
    <w:rsid w:val="00B623F0"/>
    <w:rsid w:val="00B639FF"/>
    <w:rsid w:val="00B63D42"/>
    <w:rsid w:val="00B65422"/>
    <w:rsid w:val="00B82389"/>
    <w:rsid w:val="00B846CC"/>
    <w:rsid w:val="00B87F45"/>
    <w:rsid w:val="00BA17C7"/>
    <w:rsid w:val="00BA1850"/>
    <w:rsid w:val="00BA4971"/>
    <w:rsid w:val="00BA67FE"/>
    <w:rsid w:val="00BA70EC"/>
    <w:rsid w:val="00BA7362"/>
    <w:rsid w:val="00BB0C56"/>
    <w:rsid w:val="00BB40D0"/>
    <w:rsid w:val="00BB79D2"/>
    <w:rsid w:val="00BB7B3F"/>
    <w:rsid w:val="00BC2491"/>
    <w:rsid w:val="00BC341E"/>
    <w:rsid w:val="00BC57C0"/>
    <w:rsid w:val="00BC6ABC"/>
    <w:rsid w:val="00BC7BE3"/>
    <w:rsid w:val="00BC7DF5"/>
    <w:rsid w:val="00BD309E"/>
    <w:rsid w:val="00BD3F22"/>
    <w:rsid w:val="00BD6BD6"/>
    <w:rsid w:val="00BD7C74"/>
    <w:rsid w:val="00BE3932"/>
    <w:rsid w:val="00BE67C5"/>
    <w:rsid w:val="00BF2B04"/>
    <w:rsid w:val="00C023B9"/>
    <w:rsid w:val="00C0657B"/>
    <w:rsid w:val="00C102EB"/>
    <w:rsid w:val="00C10675"/>
    <w:rsid w:val="00C11067"/>
    <w:rsid w:val="00C12EDC"/>
    <w:rsid w:val="00C1418A"/>
    <w:rsid w:val="00C174F0"/>
    <w:rsid w:val="00C234F3"/>
    <w:rsid w:val="00C23C96"/>
    <w:rsid w:val="00C2516C"/>
    <w:rsid w:val="00C42D13"/>
    <w:rsid w:val="00C50944"/>
    <w:rsid w:val="00C52AFC"/>
    <w:rsid w:val="00C539E9"/>
    <w:rsid w:val="00C5412D"/>
    <w:rsid w:val="00C54DE2"/>
    <w:rsid w:val="00C70663"/>
    <w:rsid w:val="00C71245"/>
    <w:rsid w:val="00C74AF6"/>
    <w:rsid w:val="00C76B2B"/>
    <w:rsid w:val="00C776B6"/>
    <w:rsid w:val="00C81C06"/>
    <w:rsid w:val="00C83025"/>
    <w:rsid w:val="00C8496A"/>
    <w:rsid w:val="00C853A3"/>
    <w:rsid w:val="00C879DD"/>
    <w:rsid w:val="00C90D75"/>
    <w:rsid w:val="00C95789"/>
    <w:rsid w:val="00C9761B"/>
    <w:rsid w:val="00CA5174"/>
    <w:rsid w:val="00CA7842"/>
    <w:rsid w:val="00CB56F1"/>
    <w:rsid w:val="00CC0F8E"/>
    <w:rsid w:val="00CC2BA0"/>
    <w:rsid w:val="00CC409D"/>
    <w:rsid w:val="00CC67AC"/>
    <w:rsid w:val="00CD3DE9"/>
    <w:rsid w:val="00CD6BAD"/>
    <w:rsid w:val="00CF1D47"/>
    <w:rsid w:val="00CF2296"/>
    <w:rsid w:val="00CF5BE8"/>
    <w:rsid w:val="00D0144A"/>
    <w:rsid w:val="00D03751"/>
    <w:rsid w:val="00D05449"/>
    <w:rsid w:val="00D05E76"/>
    <w:rsid w:val="00D07DE7"/>
    <w:rsid w:val="00D10548"/>
    <w:rsid w:val="00D200A7"/>
    <w:rsid w:val="00D21699"/>
    <w:rsid w:val="00D22598"/>
    <w:rsid w:val="00D252F6"/>
    <w:rsid w:val="00D27089"/>
    <w:rsid w:val="00D275D3"/>
    <w:rsid w:val="00D317F1"/>
    <w:rsid w:val="00D32FB7"/>
    <w:rsid w:val="00D3514A"/>
    <w:rsid w:val="00D3555E"/>
    <w:rsid w:val="00D46543"/>
    <w:rsid w:val="00D51952"/>
    <w:rsid w:val="00D5588D"/>
    <w:rsid w:val="00D61734"/>
    <w:rsid w:val="00D61A27"/>
    <w:rsid w:val="00D62BEB"/>
    <w:rsid w:val="00D6511E"/>
    <w:rsid w:val="00D670A4"/>
    <w:rsid w:val="00D67C96"/>
    <w:rsid w:val="00D7088C"/>
    <w:rsid w:val="00D719B9"/>
    <w:rsid w:val="00D72216"/>
    <w:rsid w:val="00D8105B"/>
    <w:rsid w:val="00D8138F"/>
    <w:rsid w:val="00D839CF"/>
    <w:rsid w:val="00D8577C"/>
    <w:rsid w:val="00D85DBE"/>
    <w:rsid w:val="00D92CA3"/>
    <w:rsid w:val="00D97E98"/>
    <w:rsid w:val="00DA4638"/>
    <w:rsid w:val="00DA471C"/>
    <w:rsid w:val="00DA5779"/>
    <w:rsid w:val="00DA69A5"/>
    <w:rsid w:val="00DA7863"/>
    <w:rsid w:val="00DB3474"/>
    <w:rsid w:val="00DC373B"/>
    <w:rsid w:val="00DC67A0"/>
    <w:rsid w:val="00DD3FDE"/>
    <w:rsid w:val="00DD4440"/>
    <w:rsid w:val="00DD46EB"/>
    <w:rsid w:val="00DD64ED"/>
    <w:rsid w:val="00DE264F"/>
    <w:rsid w:val="00DE3677"/>
    <w:rsid w:val="00DE5D96"/>
    <w:rsid w:val="00DE5EB3"/>
    <w:rsid w:val="00DE75C5"/>
    <w:rsid w:val="00DF0E4E"/>
    <w:rsid w:val="00DF2DF9"/>
    <w:rsid w:val="00DF447C"/>
    <w:rsid w:val="00DF4D3B"/>
    <w:rsid w:val="00DF650B"/>
    <w:rsid w:val="00DF74C8"/>
    <w:rsid w:val="00DF77CE"/>
    <w:rsid w:val="00E077B8"/>
    <w:rsid w:val="00E12F2B"/>
    <w:rsid w:val="00E1360A"/>
    <w:rsid w:val="00E153BE"/>
    <w:rsid w:val="00E34237"/>
    <w:rsid w:val="00E34E36"/>
    <w:rsid w:val="00E375CC"/>
    <w:rsid w:val="00E4477B"/>
    <w:rsid w:val="00E52386"/>
    <w:rsid w:val="00E5275E"/>
    <w:rsid w:val="00E55B93"/>
    <w:rsid w:val="00E56069"/>
    <w:rsid w:val="00E62737"/>
    <w:rsid w:val="00E62B67"/>
    <w:rsid w:val="00E669AC"/>
    <w:rsid w:val="00E7339B"/>
    <w:rsid w:val="00E733E0"/>
    <w:rsid w:val="00E75370"/>
    <w:rsid w:val="00E76A45"/>
    <w:rsid w:val="00E77C1D"/>
    <w:rsid w:val="00E77D59"/>
    <w:rsid w:val="00E80A7F"/>
    <w:rsid w:val="00E85BA8"/>
    <w:rsid w:val="00E871FF"/>
    <w:rsid w:val="00E87BED"/>
    <w:rsid w:val="00E90A87"/>
    <w:rsid w:val="00EA1E55"/>
    <w:rsid w:val="00EA1F4A"/>
    <w:rsid w:val="00EA68AB"/>
    <w:rsid w:val="00EA6C28"/>
    <w:rsid w:val="00EB0CB8"/>
    <w:rsid w:val="00EB6060"/>
    <w:rsid w:val="00EB6E3B"/>
    <w:rsid w:val="00EB7D33"/>
    <w:rsid w:val="00EC3A85"/>
    <w:rsid w:val="00EC790D"/>
    <w:rsid w:val="00ED06B8"/>
    <w:rsid w:val="00ED1994"/>
    <w:rsid w:val="00ED4DD3"/>
    <w:rsid w:val="00EE0369"/>
    <w:rsid w:val="00EE3A13"/>
    <w:rsid w:val="00EF5B12"/>
    <w:rsid w:val="00F02741"/>
    <w:rsid w:val="00F0300D"/>
    <w:rsid w:val="00F03DB4"/>
    <w:rsid w:val="00F0624C"/>
    <w:rsid w:val="00F110FE"/>
    <w:rsid w:val="00F13AE1"/>
    <w:rsid w:val="00F15AC7"/>
    <w:rsid w:val="00F23350"/>
    <w:rsid w:val="00F25105"/>
    <w:rsid w:val="00F25AF5"/>
    <w:rsid w:val="00F34C04"/>
    <w:rsid w:val="00F44396"/>
    <w:rsid w:val="00F511B6"/>
    <w:rsid w:val="00F5372A"/>
    <w:rsid w:val="00F541BE"/>
    <w:rsid w:val="00F5428B"/>
    <w:rsid w:val="00F64DBD"/>
    <w:rsid w:val="00F703AA"/>
    <w:rsid w:val="00F715E9"/>
    <w:rsid w:val="00F718BA"/>
    <w:rsid w:val="00F7362D"/>
    <w:rsid w:val="00F73A34"/>
    <w:rsid w:val="00F756FA"/>
    <w:rsid w:val="00F77B7F"/>
    <w:rsid w:val="00F86D57"/>
    <w:rsid w:val="00F87C9B"/>
    <w:rsid w:val="00F924AB"/>
    <w:rsid w:val="00F95A28"/>
    <w:rsid w:val="00F95F9D"/>
    <w:rsid w:val="00FA0B42"/>
    <w:rsid w:val="00FA269B"/>
    <w:rsid w:val="00FA33D4"/>
    <w:rsid w:val="00FB1E01"/>
    <w:rsid w:val="00FB1E88"/>
    <w:rsid w:val="00FB56CB"/>
    <w:rsid w:val="00FB5F8A"/>
    <w:rsid w:val="00FB711D"/>
    <w:rsid w:val="00FC0CB2"/>
    <w:rsid w:val="00FD2DAC"/>
    <w:rsid w:val="00FD40FE"/>
    <w:rsid w:val="00FD411C"/>
    <w:rsid w:val="00FD6D62"/>
    <w:rsid w:val="00FE4594"/>
    <w:rsid w:val="00FF2ED8"/>
    <w:rsid w:val="00FF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0C75879"/>
  <w15:docId w15:val="{481A3BC5-F0E9-4B35-9D49-1B1EDD61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D7"/>
    <w:rPr>
      <w:sz w:val="24"/>
      <w:szCs w:val="24"/>
      <w:lang w:eastAsia="en-US"/>
    </w:rPr>
  </w:style>
  <w:style w:type="paragraph" w:styleId="Titre1">
    <w:name w:val="heading 1"/>
    <w:basedOn w:val="Normal"/>
    <w:next w:val="Normal"/>
    <w:link w:val="Titre1Car"/>
    <w:uiPriority w:val="9"/>
    <w:qFormat/>
    <w:rsid w:val="00566FAE"/>
    <w:pPr>
      <w:keepNext/>
      <w:keepLines/>
      <w:spacing w:before="240"/>
      <w:outlineLvl w:val="0"/>
    </w:pPr>
    <w:rPr>
      <w:rFonts w:ascii="Calibri Light" w:eastAsia="MS Gothic" w:hAnsi="Calibri Light"/>
      <w:color w:val="2F5496"/>
      <w:sz w:val="32"/>
      <w:szCs w:val="32"/>
    </w:rPr>
  </w:style>
  <w:style w:type="paragraph" w:styleId="Titre2">
    <w:name w:val="heading 2"/>
    <w:basedOn w:val="Normal"/>
    <w:next w:val="Normal"/>
    <w:link w:val="Titre2Car"/>
    <w:uiPriority w:val="9"/>
    <w:semiHidden/>
    <w:unhideWhenUsed/>
    <w:qFormat/>
    <w:rsid w:val="00AB741A"/>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imes New Roman" w:hAnsi="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styleId="Lienhypertexte">
    <w:name w:val="Hyperlink"/>
    <w:rPr>
      <w:color w:val="0000FF"/>
      <w:u w:val="single"/>
    </w:rPr>
  </w:style>
  <w:style w:type="paragraph" w:styleId="Rvision">
    <w:name w:val="Revision"/>
    <w:hidden/>
    <w:uiPriority w:val="99"/>
    <w:semiHidden/>
    <w:rPr>
      <w:sz w:val="24"/>
      <w:szCs w:val="24"/>
      <w:lang w:eastAsia="en-US"/>
    </w:rPr>
  </w:style>
  <w:style w:type="character" w:styleId="Marquedecommentaire">
    <w:name w:val="annotation reference"/>
    <w:uiPriority w:val="99"/>
    <w:semiHidden/>
    <w:unhideWhenUsed/>
    <w:rPr>
      <w:sz w:val="18"/>
      <w:szCs w:val="18"/>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link w:val="Objetducommentaire"/>
    <w:uiPriority w:val="99"/>
    <w:semiHidden/>
    <w:rPr>
      <w:b/>
      <w:bCs/>
      <w:sz w:val="20"/>
      <w:szCs w:val="20"/>
    </w:rPr>
  </w:style>
  <w:style w:type="character" w:styleId="Accentuation">
    <w:name w:val="Emphasis"/>
    <w:uiPriority w:val="20"/>
    <w:qFormat/>
    <w:rPr>
      <w:i/>
      <w:iCs/>
    </w:rPr>
  </w:style>
  <w:style w:type="character" w:customStyle="1" w:styleId="Mentionnonrsolue1">
    <w:name w:val="Mention non résolue1"/>
    <w:uiPriority w:val="99"/>
    <w:semiHidden/>
    <w:unhideWhenUsed/>
    <w:rPr>
      <w:color w:val="808080"/>
      <w:shd w:val="clear" w:color="auto" w:fill="E6E6E6"/>
    </w:rPr>
  </w:style>
  <w:style w:type="character" w:styleId="Lienhypertextesuivivisit">
    <w:name w:val="FollowedHyperlink"/>
    <w:uiPriority w:val="99"/>
    <w:semiHidden/>
    <w:unhideWhenUsed/>
    <w:rPr>
      <w:color w:val="954F72"/>
      <w:u w:val="single"/>
    </w:rPr>
  </w:style>
  <w:style w:type="paragraph" w:styleId="Paragraphedeliste">
    <w:name w:val="List Paragraph"/>
    <w:basedOn w:val="Normal"/>
    <w:uiPriority w:val="34"/>
    <w:qFormat/>
    <w:pPr>
      <w:ind w:left="720"/>
      <w:contextualSpacing/>
    </w:pPr>
  </w:style>
  <w:style w:type="character" w:customStyle="1" w:styleId="Titre1Car">
    <w:name w:val="Titre 1 Car"/>
    <w:link w:val="Titre1"/>
    <w:uiPriority w:val="9"/>
    <w:rsid w:val="00566FAE"/>
    <w:rPr>
      <w:rFonts w:ascii="Calibri Light" w:eastAsia="MS Gothic" w:hAnsi="Calibri Light" w:cs="Times New Roman"/>
      <w:color w:val="2F5496"/>
      <w:sz w:val="32"/>
      <w:szCs w:val="32"/>
    </w:rPr>
  </w:style>
  <w:style w:type="character" w:customStyle="1" w:styleId="Mentionnonrsolue2">
    <w:name w:val="Mention non résolue2"/>
    <w:uiPriority w:val="99"/>
    <w:semiHidden/>
    <w:unhideWhenUsed/>
    <w:rsid w:val="008521D7"/>
    <w:rPr>
      <w:color w:val="808080"/>
      <w:shd w:val="clear" w:color="auto" w:fill="E6E6E6"/>
    </w:rPr>
  </w:style>
  <w:style w:type="paragraph" w:customStyle="1" w:styleId="Default">
    <w:name w:val="Default"/>
    <w:rsid w:val="006A606C"/>
    <w:pPr>
      <w:autoSpaceDE w:val="0"/>
      <w:autoSpaceDN w:val="0"/>
      <w:adjustRightInd w:val="0"/>
    </w:pPr>
    <w:rPr>
      <w:rFonts w:ascii="Cambria" w:hAnsi="Cambria" w:cs="Cambria"/>
      <w:color w:val="000000"/>
      <w:sz w:val="24"/>
      <w:szCs w:val="24"/>
      <w:lang w:eastAsia="en-US"/>
    </w:rPr>
  </w:style>
  <w:style w:type="character" w:customStyle="1" w:styleId="Titre2Car">
    <w:name w:val="Titre 2 Car"/>
    <w:link w:val="Titre2"/>
    <w:uiPriority w:val="9"/>
    <w:semiHidden/>
    <w:rsid w:val="00AB741A"/>
    <w:rPr>
      <w:rFonts w:ascii="Calibri Light" w:eastAsia="Times New Roman" w:hAnsi="Calibri Light" w:cs="Times New Roman"/>
      <w:b/>
      <w:bCs/>
      <w:i/>
      <w:iCs/>
      <w:sz w:val="28"/>
      <w:szCs w:val="28"/>
      <w:lang w:eastAsia="en-US"/>
    </w:rPr>
  </w:style>
  <w:style w:type="character" w:styleId="lev">
    <w:name w:val="Strong"/>
    <w:uiPriority w:val="22"/>
    <w:qFormat/>
    <w:rsid w:val="0084620A"/>
    <w:rPr>
      <w:b/>
      <w:bCs/>
    </w:rPr>
  </w:style>
  <w:style w:type="paragraph" w:styleId="NormalWeb">
    <w:name w:val="Normal (Web)"/>
    <w:basedOn w:val="Normal"/>
    <w:uiPriority w:val="99"/>
    <w:unhideWhenUsed/>
    <w:rsid w:val="00FB1E88"/>
    <w:pPr>
      <w:spacing w:before="100" w:beforeAutospacing="1" w:after="100" w:afterAutospacing="1"/>
    </w:pPr>
    <w:rPr>
      <w:rFonts w:ascii="Times New Roman" w:eastAsia="Times New Roman" w:hAnsi="Times New Roman"/>
      <w:lang w:val="en-US"/>
    </w:rPr>
  </w:style>
  <w:style w:type="character" w:styleId="Mentionnonrsolue">
    <w:name w:val="Unresolved Mention"/>
    <w:basedOn w:val="Policepardfaut"/>
    <w:uiPriority w:val="99"/>
    <w:semiHidden/>
    <w:unhideWhenUsed/>
    <w:rsid w:val="00552828"/>
    <w:rPr>
      <w:color w:val="605E5C"/>
      <w:shd w:val="clear" w:color="auto" w:fill="E1DFDD"/>
    </w:rPr>
  </w:style>
  <w:style w:type="table" w:styleId="Grilledutableau">
    <w:name w:val="Table Grid"/>
    <w:basedOn w:val="TableauNormal"/>
    <w:uiPriority w:val="39"/>
    <w:rsid w:val="00E342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41">
      <w:bodyDiv w:val="1"/>
      <w:marLeft w:val="0"/>
      <w:marRight w:val="0"/>
      <w:marTop w:val="0"/>
      <w:marBottom w:val="0"/>
      <w:divBdr>
        <w:top w:val="none" w:sz="0" w:space="0" w:color="auto"/>
        <w:left w:val="none" w:sz="0" w:space="0" w:color="auto"/>
        <w:bottom w:val="none" w:sz="0" w:space="0" w:color="auto"/>
        <w:right w:val="none" w:sz="0" w:space="0" w:color="auto"/>
      </w:divBdr>
    </w:div>
    <w:div w:id="23219311">
      <w:bodyDiv w:val="1"/>
      <w:marLeft w:val="0"/>
      <w:marRight w:val="0"/>
      <w:marTop w:val="0"/>
      <w:marBottom w:val="0"/>
      <w:divBdr>
        <w:top w:val="none" w:sz="0" w:space="0" w:color="auto"/>
        <w:left w:val="none" w:sz="0" w:space="0" w:color="auto"/>
        <w:bottom w:val="none" w:sz="0" w:space="0" w:color="auto"/>
        <w:right w:val="none" w:sz="0" w:space="0" w:color="auto"/>
      </w:divBdr>
    </w:div>
    <w:div w:id="200749908">
      <w:bodyDiv w:val="1"/>
      <w:marLeft w:val="0"/>
      <w:marRight w:val="0"/>
      <w:marTop w:val="0"/>
      <w:marBottom w:val="0"/>
      <w:divBdr>
        <w:top w:val="none" w:sz="0" w:space="0" w:color="auto"/>
        <w:left w:val="none" w:sz="0" w:space="0" w:color="auto"/>
        <w:bottom w:val="none" w:sz="0" w:space="0" w:color="auto"/>
        <w:right w:val="none" w:sz="0" w:space="0" w:color="auto"/>
      </w:divBdr>
    </w:div>
    <w:div w:id="306399603">
      <w:bodyDiv w:val="1"/>
      <w:marLeft w:val="0"/>
      <w:marRight w:val="0"/>
      <w:marTop w:val="0"/>
      <w:marBottom w:val="0"/>
      <w:divBdr>
        <w:top w:val="none" w:sz="0" w:space="0" w:color="auto"/>
        <w:left w:val="none" w:sz="0" w:space="0" w:color="auto"/>
        <w:bottom w:val="none" w:sz="0" w:space="0" w:color="auto"/>
        <w:right w:val="none" w:sz="0" w:space="0" w:color="auto"/>
      </w:divBdr>
    </w:div>
    <w:div w:id="381170800">
      <w:bodyDiv w:val="1"/>
      <w:marLeft w:val="0"/>
      <w:marRight w:val="0"/>
      <w:marTop w:val="0"/>
      <w:marBottom w:val="0"/>
      <w:divBdr>
        <w:top w:val="none" w:sz="0" w:space="0" w:color="auto"/>
        <w:left w:val="none" w:sz="0" w:space="0" w:color="auto"/>
        <w:bottom w:val="none" w:sz="0" w:space="0" w:color="auto"/>
        <w:right w:val="none" w:sz="0" w:space="0" w:color="auto"/>
      </w:divBdr>
    </w:div>
    <w:div w:id="511995814">
      <w:bodyDiv w:val="1"/>
      <w:marLeft w:val="0"/>
      <w:marRight w:val="0"/>
      <w:marTop w:val="0"/>
      <w:marBottom w:val="0"/>
      <w:divBdr>
        <w:top w:val="none" w:sz="0" w:space="0" w:color="auto"/>
        <w:left w:val="none" w:sz="0" w:space="0" w:color="auto"/>
        <w:bottom w:val="none" w:sz="0" w:space="0" w:color="auto"/>
        <w:right w:val="none" w:sz="0" w:space="0" w:color="auto"/>
      </w:divBdr>
    </w:div>
    <w:div w:id="568809296">
      <w:bodyDiv w:val="1"/>
      <w:marLeft w:val="0"/>
      <w:marRight w:val="0"/>
      <w:marTop w:val="0"/>
      <w:marBottom w:val="0"/>
      <w:divBdr>
        <w:top w:val="none" w:sz="0" w:space="0" w:color="auto"/>
        <w:left w:val="none" w:sz="0" w:space="0" w:color="auto"/>
        <w:bottom w:val="none" w:sz="0" w:space="0" w:color="auto"/>
        <w:right w:val="none" w:sz="0" w:space="0" w:color="auto"/>
      </w:divBdr>
    </w:div>
    <w:div w:id="578368578">
      <w:bodyDiv w:val="1"/>
      <w:marLeft w:val="0"/>
      <w:marRight w:val="0"/>
      <w:marTop w:val="0"/>
      <w:marBottom w:val="0"/>
      <w:divBdr>
        <w:top w:val="none" w:sz="0" w:space="0" w:color="auto"/>
        <w:left w:val="none" w:sz="0" w:space="0" w:color="auto"/>
        <w:bottom w:val="none" w:sz="0" w:space="0" w:color="auto"/>
        <w:right w:val="none" w:sz="0" w:space="0" w:color="auto"/>
      </w:divBdr>
    </w:div>
    <w:div w:id="580142735">
      <w:bodyDiv w:val="1"/>
      <w:marLeft w:val="0"/>
      <w:marRight w:val="0"/>
      <w:marTop w:val="0"/>
      <w:marBottom w:val="0"/>
      <w:divBdr>
        <w:top w:val="none" w:sz="0" w:space="0" w:color="auto"/>
        <w:left w:val="none" w:sz="0" w:space="0" w:color="auto"/>
        <w:bottom w:val="none" w:sz="0" w:space="0" w:color="auto"/>
        <w:right w:val="none" w:sz="0" w:space="0" w:color="auto"/>
      </w:divBdr>
    </w:div>
    <w:div w:id="595098283">
      <w:bodyDiv w:val="1"/>
      <w:marLeft w:val="0"/>
      <w:marRight w:val="0"/>
      <w:marTop w:val="0"/>
      <w:marBottom w:val="0"/>
      <w:divBdr>
        <w:top w:val="none" w:sz="0" w:space="0" w:color="auto"/>
        <w:left w:val="none" w:sz="0" w:space="0" w:color="auto"/>
        <w:bottom w:val="none" w:sz="0" w:space="0" w:color="auto"/>
        <w:right w:val="none" w:sz="0" w:space="0" w:color="auto"/>
      </w:divBdr>
    </w:div>
    <w:div w:id="606546299">
      <w:bodyDiv w:val="1"/>
      <w:marLeft w:val="0"/>
      <w:marRight w:val="0"/>
      <w:marTop w:val="0"/>
      <w:marBottom w:val="0"/>
      <w:divBdr>
        <w:top w:val="none" w:sz="0" w:space="0" w:color="auto"/>
        <w:left w:val="none" w:sz="0" w:space="0" w:color="auto"/>
        <w:bottom w:val="none" w:sz="0" w:space="0" w:color="auto"/>
        <w:right w:val="none" w:sz="0" w:space="0" w:color="auto"/>
      </w:divBdr>
      <w:divsChild>
        <w:div w:id="354842808">
          <w:marLeft w:val="446"/>
          <w:marRight w:val="0"/>
          <w:marTop w:val="0"/>
          <w:marBottom w:val="0"/>
          <w:divBdr>
            <w:top w:val="none" w:sz="0" w:space="0" w:color="auto"/>
            <w:left w:val="none" w:sz="0" w:space="0" w:color="auto"/>
            <w:bottom w:val="none" w:sz="0" w:space="0" w:color="auto"/>
            <w:right w:val="none" w:sz="0" w:space="0" w:color="auto"/>
          </w:divBdr>
        </w:div>
        <w:div w:id="1575432495">
          <w:marLeft w:val="446"/>
          <w:marRight w:val="0"/>
          <w:marTop w:val="0"/>
          <w:marBottom w:val="0"/>
          <w:divBdr>
            <w:top w:val="none" w:sz="0" w:space="0" w:color="auto"/>
            <w:left w:val="none" w:sz="0" w:space="0" w:color="auto"/>
            <w:bottom w:val="none" w:sz="0" w:space="0" w:color="auto"/>
            <w:right w:val="none" w:sz="0" w:space="0" w:color="auto"/>
          </w:divBdr>
        </w:div>
        <w:div w:id="626280949">
          <w:marLeft w:val="446"/>
          <w:marRight w:val="0"/>
          <w:marTop w:val="0"/>
          <w:marBottom w:val="0"/>
          <w:divBdr>
            <w:top w:val="none" w:sz="0" w:space="0" w:color="auto"/>
            <w:left w:val="none" w:sz="0" w:space="0" w:color="auto"/>
            <w:bottom w:val="none" w:sz="0" w:space="0" w:color="auto"/>
            <w:right w:val="none" w:sz="0" w:space="0" w:color="auto"/>
          </w:divBdr>
        </w:div>
        <w:div w:id="1523203557">
          <w:marLeft w:val="446"/>
          <w:marRight w:val="0"/>
          <w:marTop w:val="0"/>
          <w:marBottom w:val="0"/>
          <w:divBdr>
            <w:top w:val="none" w:sz="0" w:space="0" w:color="auto"/>
            <w:left w:val="none" w:sz="0" w:space="0" w:color="auto"/>
            <w:bottom w:val="none" w:sz="0" w:space="0" w:color="auto"/>
            <w:right w:val="none" w:sz="0" w:space="0" w:color="auto"/>
          </w:divBdr>
        </w:div>
      </w:divsChild>
    </w:div>
    <w:div w:id="783041226">
      <w:bodyDiv w:val="1"/>
      <w:marLeft w:val="0"/>
      <w:marRight w:val="0"/>
      <w:marTop w:val="0"/>
      <w:marBottom w:val="0"/>
      <w:divBdr>
        <w:top w:val="none" w:sz="0" w:space="0" w:color="auto"/>
        <w:left w:val="none" w:sz="0" w:space="0" w:color="auto"/>
        <w:bottom w:val="none" w:sz="0" w:space="0" w:color="auto"/>
        <w:right w:val="none" w:sz="0" w:space="0" w:color="auto"/>
      </w:divBdr>
    </w:div>
    <w:div w:id="797142230">
      <w:bodyDiv w:val="1"/>
      <w:marLeft w:val="0"/>
      <w:marRight w:val="0"/>
      <w:marTop w:val="0"/>
      <w:marBottom w:val="0"/>
      <w:divBdr>
        <w:top w:val="none" w:sz="0" w:space="0" w:color="auto"/>
        <w:left w:val="none" w:sz="0" w:space="0" w:color="auto"/>
        <w:bottom w:val="none" w:sz="0" w:space="0" w:color="auto"/>
        <w:right w:val="none" w:sz="0" w:space="0" w:color="auto"/>
      </w:divBdr>
    </w:div>
    <w:div w:id="889416693">
      <w:bodyDiv w:val="1"/>
      <w:marLeft w:val="0"/>
      <w:marRight w:val="0"/>
      <w:marTop w:val="0"/>
      <w:marBottom w:val="0"/>
      <w:divBdr>
        <w:top w:val="none" w:sz="0" w:space="0" w:color="auto"/>
        <w:left w:val="none" w:sz="0" w:space="0" w:color="auto"/>
        <w:bottom w:val="none" w:sz="0" w:space="0" w:color="auto"/>
        <w:right w:val="none" w:sz="0" w:space="0" w:color="auto"/>
      </w:divBdr>
    </w:div>
    <w:div w:id="894393392">
      <w:bodyDiv w:val="1"/>
      <w:marLeft w:val="0"/>
      <w:marRight w:val="0"/>
      <w:marTop w:val="0"/>
      <w:marBottom w:val="0"/>
      <w:divBdr>
        <w:top w:val="none" w:sz="0" w:space="0" w:color="auto"/>
        <w:left w:val="none" w:sz="0" w:space="0" w:color="auto"/>
        <w:bottom w:val="none" w:sz="0" w:space="0" w:color="auto"/>
        <w:right w:val="none" w:sz="0" w:space="0" w:color="auto"/>
      </w:divBdr>
    </w:div>
    <w:div w:id="899025281">
      <w:bodyDiv w:val="1"/>
      <w:marLeft w:val="0"/>
      <w:marRight w:val="0"/>
      <w:marTop w:val="0"/>
      <w:marBottom w:val="0"/>
      <w:divBdr>
        <w:top w:val="none" w:sz="0" w:space="0" w:color="auto"/>
        <w:left w:val="none" w:sz="0" w:space="0" w:color="auto"/>
        <w:bottom w:val="none" w:sz="0" w:space="0" w:color="auto"/>
        <w:right w:val="none" w:sz="0" w:space="0" w:color="auto"/>
      </w:divBdr>
    </w:div>
    <w:div w:id="1018119949">
      <w:bodyDiv w:val="1"/>
      <w:marLeft w:val="0"/>
      <w:marRight w:val="0"/>
      <w:marTop w:val="0"/>
      <w:marBottom w:val="0"/>
      <w:divBdr>
        <w:top w:val="none" w:sz="0" w:space="0" w:color="auto"/>
        <w:left w:val="none" w:sz="0" w:space="0" w:color="auto"/>
        <w:bottom w:val="none" w:sz="0" w:space="0" w:color="auto"/>
        <w:right w:val="none" w:sz="0" w:space="0" w:color="auto"/>
      </w:divBdr>
    </w:div>
    <w:div w:id="1073239309">
      <w:bodyDiv w:val="1"/>
      <w:marLeft w:val="0"/>
      <w:marRight w:val="0"/>
      <w:marTop w:val="0"/>
      <w:marBottom w:val="0"/>
      <w:divBdr>
        <w:top w:val="none" w:sz="0" w:space="0" w:color="auto"/>
        <w:left w:val="none" w:sz="0" w:space="0" w:color="auto"/>
        <w:bottom w:val="none" w:sz="0" w:space="0" w:color="auto"/>
        <w:right w:val="none" w:sz="0" w:space="0" w:color="auto"/>
      </w:divBdr>
    </w:div>
    <w:div w:id="1097017233">
      <w:bodyDiv w:val="1"/>
      <w:marLeft w:val="0"/>
      <w:marRight w:val="0"/>
      <w:marTop w:val="0"/>
      <w:marBottom w:val="0"/>
      <w:divBdr>
        <w:top w:val="none" w:sz="0" w:space="0" w:color="auto"/>
        <w:left w:val="none" w:sz="0" w:space="0" w:color="auto"/>
        <w:bottom w:val="none" w:sz="0" w:space="0" w:color="auto"/>
        <w:right w:val="none" w:sz="0" w:space="0" w:color="auto"/>
      </w:divBdr>
    </w:div>
    <w:div w:id="1138957087">
      <w:bodyDiv w:val="1"/>
      <w:marLeft w:val="0"/>
      <w:marRight w:val="0"/>
      <w:marTop w:val="0"/>
      <w:marBottom w:val="0"/>
      <w:divBdr>
        <w:top w:val="none" w:sz="0" w:space="0" w:color="auto"/>
        <w:left w:val="none" w:sz="0" w:space="0" w:color="auto"/>
        <w:bottom w:val="none" w:sz="0" w:space="0" w:color="auto"/>
        <w:right w:val="none" w:sz="0" w:space="0" w:color="auto"/>
      </w:divBdr>
    </w:div>
    <w:div w:id="1230338747">
      <w:bodyDiv w:val="1"/>
      <w:marLeft w:val="0"/>
      <w:marRight w:val="0"/>
      <w:marTop w:val="0"/>
      <w:marBottom w:val="0"/>
      <w:divBdr>
        <w:top w:val="none" w:sz="0" w:space="0" w:color="auto"/>
        <w:left w:val="none" w:sz="0" w:space="0" w:color="auto"/>
        <w:bottom w:val="none" w:sz="0" w:space="0" w:color="auto"/>
        <w:right w:val="none" w:sz="0" w:space="0" w:color="auto"/>
      </w:divBdr>
    </w:div>
    <w:div w:id="1390030997">
      <w:bodyDiv w:val="1"/>
      <w:marLeft w:val="0"/>
      <w:marRight w:val="0"/>
      <w:marTop w:val="0"/>
      <w:marBottom w:val="0"/>
      <w:divBdr>
        <w:top w:val="none" w:sz="0" w:space="0" w:color="auto"/>
        <w:left w:val="none" w:sz="0" w:space="0" w:color="auto"/>
        <w:bottom w:val="none" w:sz="0" w:space="0" w:color="auto"/>
        <w:right w:val="none" w:sz="0" w:space="0" w:color="auto"/>
      </w:divBdr>
    </w:div>
    <w:div w:id="1445349597">
      <w:bodyDiv w:val="1"/>
      <w:marLeft w:val="0"/>
      <w:marRight w:val="0"/>
      <w:marTop w:val="0"/>
      <w:marBottom w:val="0"/>
      <w:divBdr>
        <w:top w:val="none" w:sz="0" w:space="0" w:color="auto"/>
        <w:left w:val="none" w:sz="0" w:space="0" w:color="auto"/>
        <w:bottom w:val="none" w:sz="0" w:space="0" w:color="auto"/>
        <w:right w:val="none" w:sz="0" w:space="0" w:color="auto"/>
      </w:divBdr>
    </w:div>
    <w:div w:id="1497068871">
      <w:bodyDiv w:val="1"/>
      <w:marLeft w:val="0"/>
      <w:marRight w:val="0"/>
      <w:marTop w:val="0"/>
      <w:marBottom w:val="0"/>
      <w:divBdr>
        <w:top w:val="none" w:sz="0" w:space="0" w:color="auto"/>
        <w:left w:val="none" w:sz="0" w:space="0" w:color="auto"/>
        <w:bottom w:val="none" w:sz="0" w:space="0" w:color="auto"/>
        <w:right w:val="none" w:sz="0" w:space="0" w:color="auto"/>
      </w:divBdr>
    </w:div>
    <w:div w:id="1602688821">
      <w:bodyDiv w:val="1"/>
      <w:marLeft w:val="0"/>
      <w:marRight w:val="0"/>
      <w:marTop w:val="0"/>
      <w:marBottom w:val="0"/>
      <w:divBdr>
        <w:top w:val="none" w:sz="0" w:space="0" w:color="auto"/>
        <w:left w:val="none" w:sz="0" w:space="0" w:color="auto"/>
        <w:bottom w:val="none" w:sz="0" w:space="0" w:color="auto"/>
        <w:right w:val="none" w:sz="0" w:space="0" w:color="auto"/>
      </w:divBdr>
    </w:div>
    <w:div w:id="1610089089">
      <w:bodyDiv w:val="1"/>
      <w:marLeft w:val="0"/>
      <w:marRight w:val="0"/>
      <w:marTop w:val="0"/>
      <w:marBottom w:val="0"/>
      <w:divBdr>
        <w:top w:val="none" w:sz="0" w:space="0" w:color="auto"/>
        <w:left w:val="none" w:sz="0" w:space="0" w:color="auto"/>
        <w:bottom w:val="none" w:sz="0" w:space="0" w:color="auto"/>
        <w:right w:val="none" w:sz="0" w:space="0" w:color="auto"/>
      </w:divBdr>
    </w:div>
    <w:div w:id="1797798681">
      <w:bodyDiv w:val="1"/>
      <w:marLeft w:val="0"/>
      <w:marRight w:val="0"/>
      <w:marTop w:val="0"/>
      <w:marBottom w:val="0"/>
      <w:divBdr>
        <w:top w:val="none" w:sz="0" w:space="0" w:color="auto"/>
        <w:left w:val="none" w:sz="0" w:space="0" w:color="auto"/>
        <w:bottom w:val="none" w:sz="0" w:space="0" w:color="auto"/>
        <w:right w:val="none" w:sz="0" w:space="0" w:color="auto"/>
      </w:divBdr>
    </w:div>
    <w:div w:id="1846704644">
      <w:bodyDiv w:val="1"/>
      <w:marLeft w:val="0"/>
      <w:marRight w:val="0"/>
      <w:marTop w:val="0"/>
      <w:marBottom w:val="0"/>
      <w:divBdr>
        <w:top w:val="none" w:sz="0" w:space="0" w:color="auto"/>
        <w:left w:val="none" w:sz="0" w:space="0" w:color="auto"/>
        <w:bottom w:val="none" w:sz="0" w:space="0" w:color="auto"/>
        <w:right w:val="none" w:sz="0" w:space="0" w:color="auto"/>
      </w:divBdr>
    </w:div>
    <w:div w:id="1878734608">
      <w:bodyDiv w:val="1"/>
      <w:marLeft w:val="0"/>
      <w:marRight w:val="0"/>
      <w:marTop w:val="0"/>
      <w:marBottom w:val="0"/>
      <w:divBdr>
        <w:top w:val="none" w:sz="0" w:space="0" w:color="auto"/>
        <w:left w:val="none" w:sz="0" w:space="0" w:color="auto"/>
        <w:bottom w:val="none" w:sz="0" w:space="0" w:color="auto"/>
        <w:right w:val="none" w:sz="0" w:space="0" w:color="auto"/>
      </w:divBdr>
    </w:div>
    <w:div w:id="2002656634">
      <w:bodyDiv w:val="1"/>
      <w:marLeft w:val="0"/>
      <w:marRight w:val="0"/>
      <w:marTop w:val="0"/>
      <w:marBottom w:val="0"/>
      <w:divBdr>
        <w:top w:val="none" w:sz="0" w:space="0" w:color="auto"/>
        <w:left w:val="none" w:sz="0" w:space="0" w:color="auto"/>
        <w:bottom w:val="none" w:sz="0" w:space="0" w:color="auto"/>
        <w:right w:val="none" w:sz="0" w:space="0" w:color="auto"/>
      </w:divBdr>
    </w:div>
    <w:div w:id="201360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8F7A22E8E9949A74E414738B7B690" ma:contentTypeVersion="10" ma:contentTypeDescription="Create a new document." ma:contentTypeScope="" ma:versionID="4137a60c0ee540363f0daa8e0ae89c2b">
  <xsd:schema xmlns:xsd="http://www.w3.org/2001/XMLSchema" xmlns:xs="http://www.w3.org/2001/XMLSchema" xmlns:p="http://schemas.microsoft.com/office/2006/metadata/properties" xmlns:ns2="4f0475ca-b661-48ec-9d1e-10bbb3404c35" xmlns:ns3="28c3160f-3dba-4979-86ae-7248900433fd" targetNamespace="http://schemas.microsoft.com/office/2006/metadata/properties" ma:root="true" ma:fieldsID="f5c1732636bc4b69155ab3849c91debc" ns2:_="" ns3:_="">
    <xsd:import namespace="4f0475ca-b661-48ec-9d1e-10bbb3404c35"/>
    <xsd:import namespace="28c3160f-3dba-4979-86ae-724890043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75ca-b661-48ec-9d1e-10bbb340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3160f-3dba-4979-86ae-724890043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978F7A22E8E9949A74E414738B7B690" ma:contentTypeVersion="10" ma:contentTypeDescription="Create a new document." ma:contentTypeScope="" ma:versionID="4137a60c0ee540363f0daa8e0ae89c2b">
  <xsd:schema xmlns:xsd="http://www.w3.org/2001/XMLSchema" xmlns:xs="http://www.w3.org/2001/XMLSchema" xmlns:p="http://schemas.microsoft.com/office/2006/metadata/properties" xmlns:ns2="4f0475ca-b661-48ec-9d1e-10bbb3404c35" xmlns:ns3="28c3160f-3dba-4979-86ae-7248900433fd" targetNamespace="http://schemas.microsoft.com/office/2006/metadata/properties" ma:root="true" ma:fieldsID="f5c1732636bc4b69155ab3849c91debc" ns2:_="" ns3:_="">
    <xsd:import namespace="4f0475ca-b661-48ec-9d1e-10bbb3404c35"/>
    <xsd:import namespace="28c3160f-3dba-4979-86ae-724890043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75ca-b661-48ec-9d1e-10bbb340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3160f-3dba-4979-86ae-724890043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8c3160f-3dba-4979-86ae-7248900433f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A23E-4A3E-4611-8D96-49935463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75ca-b661-48ec-9d1e-10bbb3404c35"/>
    <ds:schemaRef ds:uri="28c3160f-3dba-4979-86ae-72489004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EDBAE-8966-4866-B6B2-2EFACD9B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75ca-b661-48ec-9d1e-10bbb3404c35"/>
    <ds:schemaRef ds:uri="28c3160f-3dba-4979-86ae-72489004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1E819-8D22-4439-8D07-99415D884D39}">
  <ds:schemaRefs>
    <ds:schemaRef ds:uri="http://schemas.microsoft.com/office/2006/metadata/properties"/>
    <ds:schemaRef ds:uri="http://schemas.microsoft.com/office/infopath/2007/PartnerControls"/>
    <ds:schemaRef ds:uri="28c3160f-3dba-4979-86ae-7248900433fd"/>
  </ds:schemaRefs>
</ds:datastoreItem>
</file>

<file path=customXml/itemProps4.xml><?xml version="1.0" encoding="utf-8"?>
<ds:datastoreItem xmlns:ds="http://schemas.openxmlformats.org/officeDocument/2006/customXml" ds:itemID="{BA8D3031-E61B-4026-9A97-8E3FBF9A8AE2}">
  <ds:schemaRefs>
    <ds:schemaRef ds:uri="http://schemas.microsoft.com/sharepoint/v3/contenttype/forms"/>
  </ds:schemaRefs>
</ds:datastoreItem>
</file>

<file path=customXml/itemProps5.xml><?xml version="1.0" encoding="utf-8"?>
<ds:datastoreItem xmlns:ds="http://schemas.openxmlformats.org/officeDocument/2006/customXml" ds:itemID="{2A082882-94AC-4478-A6A6-708CC6BB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3902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Maitland Consultancy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Emmanuel Vouin</cp:lastModifiedBy>
  <cp:revision>4</cp:revision>
  <cp:lastPrinted>2022-02-24T10:01:00Z</cp:lastPrinted>
  <dcterms:created xsi:type="dcterms:W3CDTF">2022-10-26T05:42:00Z</dcterms:created>
  <dcterms:modified xsi:type="dcterms:W3CDTF">2022-10-26T05:47:00Z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0x0101008978F7A22E8E9949A74E414738B7B690</vt:lpwstr>
  </property>
  <property fmtid="{D5CDD505-2E9C-101B-9397-08002B2CF9AE}" pid="4" name="WS_TRACKING_ID">
    <vt:lpwstr>14133e61-2e3c-46cc-862c-db5814a0383c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